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90" w:lineRule="exact"/>
        <w:jc w:val="center"/>
        <w:rPr>
          <w:rFonts w:hint="eastAsia" w:ascii="Times New Roman" w:hAnsi="Times New Roman" w:eastAsia="宋体" w:cs="Times New Roman"/>
          <w:b/>
          <w:sz w:val="36"/>
          <w:szCs w:val="36"/>
          <w:lang w:eastAsia="zh-CN"/>
        </w:rPr>
      </w:pPr>
      <w:r>
        <w:rPr>
          <w:rFonts w:ascii="Times New Roman" w:hAnsi="Times New Roman" w:cs="Times New Roman"/>
          <w:b/>
          <w:sz w:val="36"/>
          <w:szCs w:val="36"/>
        </w:rPr>
        <w:t>云南省种畜繁育推广中心2019年度部门决算</w:t>
      </w:r>
      <w:r>
        <w:rPr>
          <w:rFonts w:hint="eastAsia" w:ascii="Times New Roman" w:hAnsi="Times New Roman" w:cs="Times New Roman"/>
          <w:b/>
          <w:sz w:val="36"/>
          <w:szCs w:val="36"/>
          <w:lang w:eastAsia="zh-CN"/>
        </w:rPr>
        <w:t>说明</w:t>
      </w:r>
    </w:p>
    <w:p>
      <w:pPr>
        <w:autoSpaceDE w:val="0"/>
        <w:autoSpaceDN w:val="0"/>
        <w:adjustRightInd w:val="0"/>
        <w:spacing w:line="59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 xml:space="preserve"> </w:t>
      </w:r>
    </w:p>
    <w:p>
      <w:pPr>
        <w:autoSpaceDE w:val="0"/>
        <w:autoSpaceDN w:val="0"/>
        <w:adjustRightInd w:val="0"/>
        <w:spacing w:line="59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目录</w:t>
      </w:r>
    </w:p>
    <w:p>
      <w:pPr>
        <w:autoSpaceDE w:val="0"/>
        <w:autoSpaceDN w:val="0"/>
        <w:adjustRightInd w:val="0"/>
        <w:spacing w:line="59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第一部分  云南省种畜繁育推广中心概况</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一、主要职能</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二、部门基本情况</w:t>
      </w:r>
    </w:p>
    <w:p>
      <w:pPr>
        <w:autoSpaceDE w:val="0"/>
        <w:autoSpaceDN w:val="0"/>
        <w:adjustRightInd w:val="0"/>
        <w:spacing w:line="59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第二部分  2019年度部门决算表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一、收入支出决算总表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二、收入决算表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三、支出决算表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四、财政拨款收入支出决算总表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五、一般公共预算财政拨款收入支出决算表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六、一般公共预算财政拨款基本支出决算表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七、政府性基金预算财政拨款收入支出决算表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八、“三公”经费、行政参公单位机关运行经费情况表</w:t>
      </w:r>
    </w:p>
    <w:p>
      <w:pPr>
        <w:autoSpaceDE w:val="0"/>
        <w:autoSpaceDN w:val="0"/>
        <w:adjustRightInd w:val="0"/>
        <w:spacing w:line="59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第三部分  2019年度部门决算情况说明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一、收入决算情况说明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二、支出决算情况说明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三、一般公共预算财政拨款支出决算情况说明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四、一般公共预算财政拨款“三公”经费支出决算情况说明</w:t>
      </w:r>
    </w:p>
    <w:p>
      <w:pPr>
        <w:autoSpaceDE w:val="0"/>
        <w:autoSpaceDN w:val="0"/>
        <w:adjustRightInd w:val="0"/>
        <w:spacing w:line="59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第四部分  其他重要事项及相关口径情况说明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一、机关运行经费支出情况</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二、国有资产占有情况</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三、政府采购支出情况</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四、部门绩效自评情况</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（一）项目支出绩效自评/项目支出绩效自评报告（表）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（二）部门整体支出绩效自评报告</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（三）部门整体支出绩效自评表</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五、其他重要事项情况说明</w:t>
      </w:r>
    </w:p>
    <w:p>
      <w:pPr>
        <w:autoSpaceDE w:val="0"/>
        <w:autoSpaceDN w:val="0"/>
        <w:adjustRightInd w:val="0"/>
        <w:spacing w:line="590" w:lineRule="exact"/>
        <w:jc w:val="left"/>
        <w:rPr>
          <w:rFonts w:ascii="Times New Roman" w:hAnsi="Times New Roman" w:eastAsia="楷体" w:cs="Times New Roman"/>
          <w:sz w:val="30"/>
          <w:szCs w:val="30"/>
        </w:rPr>
      </w:pPr>
      <w:r>
        <w:rPr>
          <w:rFonts w:ascii="Times New Roman" w:hAnsi="Times New Roman" w:eastAsia="楷体" w:cs="Times New Roman"/>
          <w:sz w:val="30"/>
          <w:szCs w:val="30"/>
        </w:rPr>
        <w:t>六、相关口径说明</w:t>
      </w:r>
    </w:p>
    <w:p>
      <w:pPr>
        <w:autoSpaceDE w:val="0"/>
        <w:autoSpaceDN w:val="0"/>
        <w:adjustRightInd w:val="0"/>
        <w:spacing w:line="59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第五部分  名词解释</w:t>
      </w:r>
    </w:p>
    <w:p>
      <w:pPr>
        <w:autoSpaceDE w:val="0"/>
        <w:autoSpaceDN w:val="0"/>
        <w:adjustRightInd w:val="0"/>
        <w:spacing w:line="60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autoSpaceDE w:val="0"/>
        <w:autoSpaceDN w:val="0"/>
        <w:adjustRightInd w:val="0"/>
        <w:spacing w:line="60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autoSpaceDE w:val="0"/>
        <w:autoSpaceDN w:val="0"/>
        <w:adjustRightInd w:val="0"/>
        <w:spacing w:line="60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autoSpaceDE w:val="0"/>
        <w:autoSpaceDN w:val="0"/>
        <w:adjustRightInd w:val="0"/>
        <w:spacing w:line="60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autoSpaceDE w:val="0"/>
        <w:autoSpaceDN w:val="0"/>
        <w:adjustRightInd w:val="0"/>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第一部分  云南省种畜繁育推广中心概况</w:t>
      </w:r>
    </w:p>
    <w:p>
      <w:pPr>
        <w:autoSpaceDE w:val="0"/>
        <w:autoSpaceDN w:val="0"/>
        <w:adjustRightInd w:val="0"/>
        <w:spacing w:line="59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一、主要职能</w:t>
      </w:r>
    </w:p>
    <w:p>
      <w:pPr>
        <w:autoSpaceDE w:val="0"/>
        <w:autoSpaceDN w:val="0"/>
        <w:adjustRightInd w:val="0"/>
        <w:spacing w:line="59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（一）主要职能</w:t>
      </w:r>
    </w:p>
    <w:p>
      <w:pPr>
        <w:autoSpaceDE w:val="0"/>
        <w:autoSpaceDN w:val="0"/>
        <w:adjustRightInd w:val="0"/>
        <w:spacing w:line="590" w:lineRule="exact"/>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云南省种畜繁育推广中心</w:t>
      </w:r>
      <w:r>
        <w:rPr>
          <w:rFonts w:ascii="Times New Roman" w:hAnsi="Times New Roman" w:eastAsia="仿宋" w:cs="Times New Roman"/>
          <w:sz w:val="30"/>
          <w:szCs w:val="30"/>
        </w:rPr>
        <w:t>,</w:t>
      </w:r>
      <w:r>
        <w:rPr>
          <w:rFonts w:ascii="Times New Roman" w:hAnsi="仿宋" w:eastAsia="仿宋" w:cs="Times New Roman"/>
          <w:sz w:val="30"/>
          <w:szCs w:val="30"/>
        </w:rPr>
        <w:t>其主要职责是以培育种牛、冻精等良种草食家畜为主要任务，担负着云南省良种草食家畜的引种、驯化、选育、推广等任务，同时肩负着为社会推广种草养畜的科研成果和配套技术，目前已成为以优良品种为主的多品种种畜规模生产科研基地，属云南省畜牧良种体系建设的重要组成部分，每年向社会提供优良种畜，冻精改良效果显著，为农村带来较好的经济效益。</w:t>
      </w:r>
    </w:p>
    <w:p>
      <w:pPr>
        <w:autoSpaceDE w:val="0"/>
        <w:autoSpaceDN w:val="0"/>
        <w:adjustRightInd w:val="0"/>
        <w:spacing w:line="59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（二）2019年度重点工作任务介绍</w:t>
      </w:r>
    </w:p>
    <w:p>
      <w:pPr>
        <w:pStyle w:val="6"/>
        <w:widowControl w:val="0"/>
        <w:spacing w:before="0" w:beforeAutospacing="0" w:after="0" w:afterAutospacing="0" w:line="360" w:lineRule="auto"/>
        <w:ind w:firstLine="600" w:firstLineChars="200"/>
        <w:jc w:val="both"/>
        <w:rPr>
          <w:rFonts w:ascii="Times New Roman" w:hAnsi="Times New Roman" w:eastAsia="仿宋" w:cs="Times New Roman"/>
          <w:kern w:val="2"/>
          <w:sz w:val="30"/>
          <w:szCs w:val="30"/>
        </w:rPr>
      </w:pPr>
      <w:r>
        <w:rPr>
          <w:rFonts w:ascii="Times New Roman" w:hAnsi="Times New Roman" w:eastAsia="仿宋" w:cs="Times New Roman"/>
          <w:kern w:val="2"/>
          <w:sz w:val="30"/>
          <w:szCs w:val="30"/>
        </w:rPr>
        <w:t>1</w:t>
      </w:r>
      <w:r>
        <w:rPr>
          <w:rFonts w:ascii="Times New Roman" w:hAnsi="仿宋" w:eastAsia="仿宋" w:cs="Times New Roman"/>
          <w:kern w:val="2"/>
          <w:sz w:val="30"/>
          <w:szCs w:val="30"/>
        </w:rPr>
        <w:t>、种牛及冻精品质稳步提升。</w:t>
      </w:r>
    </w:p>
    <w:p>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冷冻精液站改变创新理念，加强管理，保障种公牛群的存栏数和生产力，种牛及冻精品质有所提升，现存栏种公牛</w:t>
      </w:r>
      <w:r>
        <w:rPr>
          <w:rFonts w:ascii="Times New Roman" w:hAnsi="Times New Roman" w:eastAsia="仿宋" w:cs="Times New Roman"/>
          <w:sz w:val="30"/>
          <w:szCs w:val="30"/>
        </w:rPr>
        <w:t>37</w:t>
      </w:r>
      <w:r>
        <w:rPr>
          <w:rFonts w:ascii="Times New Roman" w:hAnsi="仿宋" w:eastAsia="仿宋" w:cs="Times New Roman"/>
          <w:sz w:val="30"/>
          <w:szCs w:val="30"/>
        </w:rPr>
        <w:t>头，全年生产冻精</w:t>
      </w:r>
      <w:r>
        <w:rPr>
          <w:rFonts w:ascii="Times New Roman" w:hAnsi="Times New Roman" w:eastAsia="仿宋" w:cs="Times New Roman"/>
          <w:sz w:val="30"/>
          <w:szCs w:val="30"/>
        </w:rPr>
        <w:t>53.76</w:t>
      </w:r>
      <w:r>
        <w:rPr>
          <w:rFonts w:ascii="Times New Roman" w:hAnsi="仿宋" w:eastAsia="仿宋" w:cs="Times New Roman"/>
          <w:sz w:val="30"/>
          <w:szCs w:val="30"/>
        </w:rPr>
        <w:t>万剂，销售</w:t>
      </w:r>
      <w:r>
        <w:rPr>
          <w:rFonts w:ascii="Times New Roman" w:hAnsi="Times New Roman" w:eastAsia="仿宋" w:cs="Times New Roman"/>
          <w:sz w:val="30"/>
          <w:szCs w:val="30"/>
        </w:rPr>
        <w:t>39.95</w:t>
      </w:r>
      <w:r>
        <w:rPr>
          <w:rFonts w:ascii="Times New Roman" w:hAnsi="仿宋" w:eastAsia="仿宋" w:cs="Times New Roman"/>
          <w:sz w:val="30"/>
          <w:szCs w:val="30"/>
        </w:rPr>
        <w:t>万剂，销售收入达</w:t>
      </w:r>
      <w:r>
        <w:rPr>
          <w:rFonts w:ascii="Times New Roman" w:hAnsi="Times New Roman" w:eastAsia="仿宋" w:cs="Times New Roman"/>
          <w:sz w:val="30"/>
          <w:szCs w:val="30"/>
        </w:rPr>
        <w:t>686.35</w:t>
      </w:r>
      <w:r>
        <w:rPr>
          <w:rFonts w:ascii="Times New Roman" w:hAnsi="仿宋" w:eastAsia="仿宋" w:cs="Times New Roman"/>
          <w:sz w:val="30"/>
          <w:szCs w:val="30"/>
        </w:rPr>
        <w:t>万元。</w:t>
      </w:r>
    </w:p>
    <w:p>
      <w:pPr>
        <w:pStyle w:val="6"/>
        <w:widowControl w:val="0"/>
        <w:spacing w:before="0" w:beforeAutospacing="0" w:after="0" w:afterAutospacing="0"/>
        <w:ind w:firstLine="600" w:firstLineChars="200"/>
        <w:jc w:val="both"/>
        <w:rPr>
          <w:rFonts w:ascii="Times New Roman" w:hAnsi="Times New Roman" w:eastAsia="仿宋" w:cs="Times New Roman"/>
          <w:kern w:val="2"/>
          <w:sz w:val="30"/>
          <w:szCs w:val="30"/>
        </w:rPr>
      </w:pPr>
      <w:r>
        <w:rPr>
          <w:rFonts w:ascii="Times New Roman" w:hAnsi="Times New Roman" w:eastAsia="仿宋" w:cs="Times New Roman"/>
          <w:kern w:val="2"/>
          <w:sz w:val="30"/>
          <w:szCs w:val="30"/>
        </w:rPr>
        <w:t>2</w:t>
      </w:r>
      <w:r>
        <w:rPr>
          <w:rFonts w:ascii="Times New Roman" w:hAnsi="仿宋" w:eastAsia="仿宋" w:cs="Times New Roman"/>
          <w:kern w:val="2"/>
          <w:sz w:val="30"/>
          <w:szCs w:val="30"/>
        </w:rPr>
        <w:t>、西门塔尔种牛各项生产指标平稳。</w:t>
      </w:r>
    </w:p>
    <w:p>
      <w:pPr>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纯繁场加强饲养管理，紧抓</w:t>
      </w:r>
      <w:r>
        <w:rPr>
          <w:rFonts w:ascii="Times New Roman" w:hAnsi="Times New Roman" w:eastAsia="仿宋" w:cs="Times New Roman"/>
          <w:sz w:val="30"/>
          <w:szCs w:val="30"/>
        </w:rPr>
        <w:t>“</w:t>
      </w:r>
      <w:r>
        <w:rPr>
          <w:rFonts w:ascii="Times New Roman" w:hAnsi="仿宋" w:eastAsia="仿宋" w:cs="Times New Roman"/>
          <w:sz w:val="30"/>
          <w:szCs w:val="30"/>
        </w:rPr>
        <w:t>提纯复壮</w:t>
      </w:r>
      <w:r>
        <w:rPr>
          <w:rFonts w:ascii="Times New Roman" w:hAnsi="Times New Roman" w:eastAsia="仿宋" w:cs="Times New Roman"/>
          <w:sz w:val="30"/>
          <w:szCs w:val="30"/>
        </w:rPr>
        <w:t>”</w:t>
      </w:r>
      <w:r>
        <w:rPr>
          <w:rFonts w:ascii="Times New Roman" w:hAnsi="仿宋" w:eastAsia="仿宋" w:cs="Times New Roman"/>
          <w:sz w:val="30"/>
          <w:szCs w:val="30"/>
        </w:rPr>
        <w:t>根本目标，充分采用胚胎移植、信息化管理等科学方法，良种肉牛各项生产指标平稳。严格西门塔尔牛培育选育工作。现存栏西门塔尔牛</w:t>
      </w:r>
      <w:r>
        <w:rPr>
          <w:rFonts w:ascii="Times New Roman" w:hAnsi="Times New Roman" w:eastAsia="仿宋" w:cs="Times New Roman"/>
          <w:sz w:val="30"/>
          <w:szCs w:val="30"/>
        </w:rPr>
        <w:t>368</w:t>
      </w:r>
      <w:r>
        <w:rPr>
          <w:rFonts w:ascii="Times New Roman" w:hAnsi="仿宋" w:eastAsia="仿宋" w:cs="Times New Roman"/>
          <w:sz w:val="30"/>
          <w:szCs w:val="30"/>
        </w:rPr>
        <w:t>头，全年产犊</w:t>
      </w:r>
      <w:r>
        <w:rPr>
          <w:rFonts w:ascii="Times New Roman" w:hAnsi="Times New Roman" w:eastAsia="仿宋" w:cs="Times New Roman"/>
          <w:sz w:val="30"/>
          <w:szCs w:val="30"/>
        </w:rPr>
        <w:t>150</w:t>
      </w:r>
      <w:r>
        <w:rPr>
          <w:rFonts w:ascii="Times New Roman" w:hAnsi="仿宋" w:eastAsia="仿宋" w:cs="Times New Roman"/>
          <w:sz w:val="30"/>
          <w:szCs w:val="30"/>
        </w:rPr>
        <w:t>头，全年销售牛只</w:t>
      </w:r>
      <w:r>
        <w:rPr>
          <w:rFonts w:ascii="Times New Roman" w:hAnsi="Times New Roman" w:eastAsia="仿宋" w:cs="Times New Roman"/>
          <w:sz w:val="30"/>
          <w:szCs w:val="30"/>
        </w:rPr>
        <w:t>149</w:t>
      </w:r>
      <w:r>
        <w:rPr>
          <w:rFonts w:ascii="Times New Roman" w:hAnsi="仿宋" w:eastAsia="仿宋" w:cs="Times New Roman"/>
          <w:sz w:val="30"/>
          <w:szCs w:val="30"/>
        </w:rPr>
        <w:t>头，销售收入达</w:t>
      </w:r>
      <w:r>
        <w:rPr>
          <w:rFonts w:ascii="Times New Roman" w:hAnsi="Times New Roman" w:eastAsia="仿宋" w:cs="Times New Roman"/>
          <w:sz w:val="30"/>
          <w:szCs w:val="30"/>
        </w:rPr>
        <w:t>367.96</w:t>
      </w:r>
      <w:r>
        <w:rPr>
          <w:rFonts w:ascii="Times New Roman" w:hAnsi="仿宋" w:eastAsia="仿宋" w:cs="Times New Roman"/>
          <w:sz w:val="30"/>
          <w:szCs w:val="30"/>
        </w:rPr>
        <w:t>万元。</w:t>
      </w:r>
    </w:p>
    <w:p>
      <w:pPr>
        <w:ind w:firstLine="450" w:firstLineChars="150"/>
        <w:rPr>
          <w:rFonts w:ascii="Times New Roman" w:hAnsi="Times New Roman" w:eastAsia="仿宋" w:cs="Times New Roman"/>
          <w:sz w:val="30"/>
          <w:szCs w:val="30"/>
        </w:rPr>
      </w:pPr>
      <w:r>
        <w:rPr>
          <w:rFonts w:ascii="Times New Roman" w:hAnsi="Times New Roman" w:eastAsia="仿宋" w:cs="Times New Roman"/>
          <w:sz w:val="30"/>
          <w:szCs w:val="30"/>
        </w:rPr>
        <w:t>3</w:t>
      </w:r>
      <w:r>
        <w:rPr>
          <w:rFonts w:ascii="Times New Roman" w:hAnsi="仿宋" w:eastAsia="仿宋" w:cs="Times New Roman"/>
          <w:sz w:val="30"/>
          <w:szCs w:val="30"/>
        </w:rPr>
        <w:t>、变电站供电安全有序。变电站严格执行相关工作规章制度及设备操作安全规程，全年完成安全送电</w:t>
      </w:r>
      <w:r>
        <w:rPr>
          <w:rFonts w:ascii="Times New Roman" w:hAnsi="Times New Roman" w:eastAsia="仿宋" w:cs="Times New Roman"/>
          <w:sz w:val="30"/>
          <w:szCs w:val="30"/>
        </w:rPr>
        <w:t>989.4619</w:t>
      </w:r>
      <w:r>
        <w:rPr>
          <w:rFonts w:ascii="Times New Roman" w:hAnsi="仿宋" w:eastAsia="仿宋" w:cs="Times New Roman"/>
          <w:sz w:val="30"/>
          <w:szCs w:val="30"/>
        </w:rPr>
        <w:t>万</w:t>
      </w:r>
      <w:r>
        <w:rPr>
          <w:rFonts w:ascii="Times New Roman" w:hAnsi="Times New Roman" w:eastAsia="仿宋" w:cs="Times New Roman"/>
          <w:sz w:val="30"/>
          <w:szCs w:val="30"/>
        </w:rPr>
        <w:t>KW·h</w:t>
      </w:r>
      <w:r>
        <w:rPr>
          <w:rFonts w:ascii="Times New Roman" w:hAnsi="仿宋" w:eastAsia="仿宋" w:cs="Times New Roman"/>
          <w:sz w:val="30"/>
          <w:szCs w:val="30"/>
        </w:rPr>
        <w:t>。</w:t>
      </w:r>
    </w:p>
    <w:p>
      <w:pPr>
        <w:ind w:firstLine="450" w:firstLineChars="150"/>
        <w:rPr>
          <w:rFonts w:ascii="Times New Roman" w:hAnsi="Times New Roman" w:eastAsia="仿宋" w:cs="Times New Roman"/>
          <w:sz w:val="30"/>
          <w:szCs w:val="30"/>
        </w:rPr>
      </w:pPr>
      <w:r>
        <w:rPr>
          <w:rFonts w:ascii="Times New Roman" w:hAnsi="Times New Roman" w:eastAsia="仿宋" w:cs="Times New Roman"/>
          <w:sz w:val="30"/>
          <w:szCs w:val="30"/>
        </w:rPr>
        <w:t>4</w:t>
      </w:r>
      <w:r>
        <w:rPr>
          <w:rFonts w:ascii="Times New Roman" w:hAnsi="仿宋" w:eastAsia="仿宋" w:cs="Times New Roman"/>
          <w:sz w:val="30"/>
          <w:szCs w:val="30"/>
        </w:rPr>
        <w:t>、开展职工关爱活动。</w:t>
      </w:r>
      <w:r>
        <w:rPr>
          <w:rFonts w:ascii="Times New Roman" w:hAnsi="Times New Roman" w:eastAsia="仿宋" w:cs="Times New Roman"/>
          <w:sz w:val="30"/>
          <w:szCs w:val="30"/>
        </w:rPr>
        <w:t>2019</w:t>
      </w:r>
      <w:r>
        <w:rPr>
          <w:rFonts w:ascii="Times New Roman" w:hAnsi="仿宋" w:eastAsia="仿宋" w:cs="Times New Roman"/>
          <w:sz w:val="30"/>
          <w:szCs w:val="30"/>
        </w:rPr>
        <w:t>年，开展第十五期医疗互助活动，申报互助金</w:t>
      </w:r>
      <w:r>
        <w:rPr>
          <w:rFonts w:ascii="Times New Roman" w:hAnsi="Times New Roman" w:eastAsia="仿宋" w:cs="Times New Roman"/>
          <w:sz w:val="30"/>
          <w:szCs w:val="30"/>
        </w:rPr>
        <w:t>154</w:t>
      </w:r>
      <w:r>
        <w:rPr>
          <w:rFonts w:ascii="Times New Roman" w:hAnsi="仿宋" w:eastAsia="仿宋" w:cs="Times New Roman"/>
          <w:sz w:val="30"/>
          <w:szCs w:val="30"/>
        </w:rPr>
        <w:t>人次</w:t>
      </w:r>
      <w:r>
        <w:rPr>
          <w:rFonts w:ascii="Times New Roman" w:hAnsi="Times New Roman" w:eastAsia="仿宋" w:cs="Times New Roman"/>
          <w:sz w:val="30"/>
          <w:szCs w:val="30"/>
        </w:rPr>
        <w:t>4.3</w:t>
      </w:r>
      <w:r>
        <w:rPr>
          <w:rFonts w:ascii="Times New Roman" w:hAnsi="仿宋" w:eastAsia="仿宋" w:cs="Times New Roman"/>
          <w:sz w:val="30"/>
          <w:szCs w:val="30"/>
        </w:rPr>
        <w:t>万余元；看望生病住院职工</w:t>
      </w:r>
      <w:r>
        <w:rPr>
          <w:rFonts w:ascii="Times New Roman" w:hAnsi="Times New Roman" w:eastAsia="仿宋" w:cs="Times New Roman"/>
          <w:sz w:val="30"/>
          <w:szCs w:val="30"/>
        </w:rPr>
        <w:t>8</w:t>
      </w:r>
      <w:r>
        <w:rPr>
          <w:rFonts w:ascii="Times New Roman" w:hAnsi="仿宋" w:eastAsia="仿宋" w:cs="Times New Roman"/>
          <w:sz w:val="30"/>
          <w:szCs w:val="30"/>
        </w:rPr>
        <w:t>人次、发放慰问金</w:t>
      </w:r>
      <w:r>
        <w:rPr>
          <w:rFonts w:ascii="Times New Roman" w:hAnsi="Times New Roman" w:eastAsia="仿宋" w:cs="Times New Roman"/>
          <w:sz w:val="30"/>
          <w:szCs w:val="30"/>
        </w:rPr>
        <w:t>2200</w:t>
      </w:r>
      <w:r>
        <w:rPr>
          <w:rFonts w:ascii="Times New Roman" w:hAnsi="仿宋" w:eastAsia="仿宋" w:cs="Times New Roman"/>
          <w:sz w:val="30"/>
          <w:szCs w:val="30"/>
        </w:rPr>
        <w:t>元。</w:t>
      </w:r>
      <w:r>
        <w:rPr>
          <w:rFonts w:ascii="Times New Roman" w:hAnsi="Times New Roman" w:eastAsia="仿宋" w:cs="Times New Roman"/>
          <w:sz w:val="30"/>
          <w:szCs w:val="30"/>
        </w:rPr>
        <w:t xml:space="preserve"> </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w:t>
      </w:r>
      <w:r>
        <w:rPr>
          <w:rFonts w:ascii="Times New Roman" w:hAnsi="仿宋" w:eastAsia="仿宋" w:cs="Times New Roman"/>
          <w:sz w:val="30"/>
          <w:szCs w:val="30"/>
        </w:rPr>
        <w:t>、狠抓宣传，加强制度建设，安全稳定有保障。中心积极开展各项法律法规宣传教育活动，制定完善各种安全规章制度，严格预防，</w:t>
      </w:r>
      <w:r>
        <w:rPr>
          <w:rFonts w:ascii="Times New Roman" w:hAnsi="Times New Roman" w:eastAsia="仿宋" w:cs="Times New Roman"/>
          <w:sz w:val="30"/>
          <w:szCs w:val="30"/>
        </w:rPr>
        <w:t>2019</w:t>
      </w:r>
      <w:r>
        <w:rPr>
          <w:rFonts w:ascii="Times New Roman" w:hAnsi="仿宋" w:eastAsia="仿宋" w:cs="Times New Roman"/>
          <w:sz w:val="30"/>
          <w:szCs w:val="30"/>
        </w:rPr>
        <w:t>年中心未出现火情、火警情况，未发生安全生产事故，中心范围内社会治安良好，社会环境稳定。</w:t>
      </w:r>
    </w:p>
    <w:p>
      <w:pPr>
        <w:pStyle w:val="16"/>
        <w:shd w:val="clear" w:color="auto" w:fill="FFFFFF"/>
        <w:ind w:firstLine="600" w:firstLineChars="200"/>
        <w:rPr>
          <w:rFonts w:eastAsia="仿宋" w:cs="Times New Roman"/>
          <w:sz w:val="30"/>
          <w:szCs w:val="30"/>
        </w:rPr>
      </w:pPr>
      <w:r>
        <w:rPr>
          <w:rFonts w:eastAsia="仿宋" w:cs="Times New Roman"/>
          <w:sz w:val="30"/>
          <w:szCs w:val="30"/>
        </w:rPr>
        <w:t>6</w:t>
      </w:r>
      <w:r>
        <w:rPr>
          <w:rFonts w:hAnsi="仿宋" w:eastAsia="仿宋" w:cs="Times New Roman"/>
          <w:sz w:val="30"/>
          <w:szCs w:val="30"/>
        </w:rPr>
        <w:t>、狠抓服务，构建和谐有保障。一是全额发放在职职工工资。我中心属差额拨款事业单位，</w:t>
      </w:r>
      <w:r>
        <w:rPr>
          <w:rFonts w:eastAsia="仿宋" w:cs="Times New Roman"/>
          <w:sz w:val="30"/>
          <w:szCs w:val="30"/>
        </w:rPr>
        <w:t>2019</w:t>
      </w:r>
      <w:r>
        <w:rPr>
          <w:rFonts w:hAnsi="仿宋" w:eastAsia="仿宋" w:cs="Times New Roman"/>
          <w:sz w:val="30"/>
          <w:szCs w:val="30"/>
        </w:rPr>
        <w:t>年，在经济负担异常沉重的情况下，依靠往年节余和积极协调，基本保障了职工工资发放。二是后勤服务等工作开展有序。中心各部门坚持</w:t>
      </w:r>
      <w:r>
        <w:rPr>
          <w:rFonts w:eastAsia="仿宋" w:cs="Times New Roman"/>
          <w:sz w:val="30"/>
          <w:szCs w:val="30"/>
        </w:rPr>
        <w:t>“</w:t>
      </w:r>
      <w:r>
        <w:rPr>
          <w:rFonts w:hAnsi="仿宋" w:eastAsia="仿宋" w:cs="Times New Roman"/>
          <w:sz w:val="30"/>
          <w:szCs w:val="30"/>
        </w:rPr>
        <w:t>安全、稳定、谋事、落实</w:t>
      </w:r>
      <w:r>
        <w:rPr>
          <w:rFonts w:eastAsia="仿宋" w:cs="Times New Roman"/>
          <w:sz w:val="30"/>
          <w:szCs w:val="30"/>
        </w:rPr>
        <w:t>”</w:t>
      </w:r>
      <w:r>
        <w:rPr>
          <w:rFonts w:hAnsi="仿宋" w:eastAsia="仿宋" w:cs="Times New Roman"/>
          <w:sz w:val="30"/>
          <w:szCs w:val="30"/>
        </w:rPr>
        <w:t>的工作思路，团结协作，求真务实，调动职工工作积极性，各项后勤服务工作平稳有序开展。三是加强离退休职工的服务工作。全年看望生病住院退休职工</w:t>
      </w:r>
      <w:r>
        <w:rPr>
          <w:rFonts w:eastAsia="仿宋" w:cs="Times New Roman"/>
          <w:sz w:val="30"/>
          <w:szCs w:val="30"/>
        </w:rPr>
        <w:t>49</w:t>
      </w:r>
      <w:r>
        <w:rPr>
          <w:rFonts w:hAnsi="仿宋" w:eastAsia="仿宋" w:cs="Times New Roman"/>
          <w:sz w:val="30"/>
          <w:szCs w:val="30"/>
        </w:rPr>
        <w:t>人次，为</w:t>
      </w:r>
      <w:r>
        <w:rPr>
          <w:rFonts w:eastAsia="仿宋" w:cs="Times New Roman"/>
          <w:sz w:val="30"/>
          <w:szCs w:val="30"/>
        </w:rPr>
        <w:t>112</w:t>
      </w:r>
      <w:r>
        <w:rPr>
          <w:rFonts w:hAnsi="仿宋" w:eastAsia="仿宋" w:cs="Times New Roman"/>
          <w:sz w:val="30"/>
          <w:szCs w:val="30"/>
        </w:rPr>
        <w:t>名</w:t>
      </w:r>
      <w:r>
        <w:rPr>
          <w:rFonts w:eastAsia="仿宋" w:cs="Times New Roman"/>
          <w:sz w:val="30"/>
          <w:szCs w:val="30"/>
        </w:rPr>
        <w:t>80</w:t>
      </w:r>
      <w:r>
        <w:rPr>
          <w:rFonts w:hAnsi="仿宋" w:eastAsia="仿宋" w:cs="Times New Roman"/>
          <w:sz w:val="30"/>
          <w:szCs w:val="30"/>
        </w:rPr>
        <w:t>岁以上老职工发放高龄补贴，为</w:t>
      </w:r>
      <w:r>
        <w:rPr>
          <w:rFonts w:eastAsia="仿宋" w:cs="Times New Roman"/>
          <w:sz w:val="30"/>
          <w:szCs w:val="30"/>
        </w:rPr>
        <w:t>19</w:t>
      </w:r>
      <w:r>
        <w:rPr>
          <w:rFonts w:hAnsi="仿宋" w:eastAsia="仿宋" w:cs="Times New Roman"/>
          <w:sz w:val="30"/>
          <w:szCs w:val="30"/>
        </w:rPr>
        <w:t>名遗属发放遗属补贴，认真做好</w:t>
      </w:r>
      <w:r>
        <w:rPr>
          <w:rFonts w:eastAsia="仿宋" w:cs="Times New Roman"/>
          <w:sz w:val="30"/>
          <w:szCs w:val="30"/>
        </w:rPr>
        <w:t>12</w:t>
      </w:r>
      <w:r>
        <w:rPr>
          <w:rFonts w:hAnsi="仿宋" w:eastAsia="仿宋" w:cs="Times New Roman"/>
          <w:sz w:val="30"/>
          <w:szCs w:val="30"/>
        </w:rPr>
        <w:t>位老同志去世的善后工作，春节、中秋慰问离退休干部</w:t>
      </w:r>
      <w:r>
        <w:rPr>
          <w:rFonts w:eastAsia="仿宋" w:cs="Times New Roman"/>
          <w:sz w:val="30"/>
          <w:szCs w:val="30"/>
        </w:rPr>
        <w:t>6</w:t>
      </w:r>
      <w:r>
        <w:rPr>
          <w:rFonts w:hAnsi="仿宋" w:eastAsia="仿宋" w:cs="Times New Roman"/>
          <w:sz w:val="30"/>
          <w:szCs w:val="30"/>
        </w:rPr>
        <w:t>人次、敬老节前走访慰问年满</w:t>
      </w:r>
      <w:r>
        <w:rPr>
          <w:rFonts w:eastAsia="仿宋" w:cs="Times New Roman"/>
          <w:sz w:val="30"/>
          <w:szCs w:val="30"/>
        </w:rPr>
        <w:t>90</w:t>
      </w:r>
      <w:r>
        <w:rPr>
          <w:rFonts w:hAnsi="仿宋" w:eastAsia="仿宋" w:cs="Times New Roman"/>
          <w:sz w:val="30"/>
          <w:szCs w:val="30"/>
        </w:rPr>
        <w:t>周岁老同志</w:t>
      </w:r>
      <w:r>
        <w:rPr>
          <w:rFonts w:eastAsia="仿宋" w:cs="Times New Roman"/>
          <w:sz w:val="30"/>
          <w:szCs w:val="30"/>
        </w:rPr>
        <w:t>12</w:t>
      </w:r>
      <w:r>
        <w:rPr>
          <w:rFonts w:hAnsi="仿宋" w:eastAsia="仿宋" w:cs="Times New Roman"/>
          <w:sz w:val="30"/>
          <w:szCs w:val="30"/>
        </w:rPr>
        <w:t>人次，为</w:t>
      </w:r>
      <w:r>
        <w:rPr>
          <w:rFonts w:eastAsia="仿宋" w:cs="Times New Roman"/>
          <w:sz w:val="30"/>
          <w:szCs w:val="30"/>
        </w:rPr>
        <w:t>12</w:t>
      </w:r>
      <w:r>
        <w:rPr>
          <w:rFonts w:hAnsi="仿宋" w:eastAsia="仿宋" w:cs="Times New Roman"/>
          <w:sz w:val="30"/>
          <w:szCs w:val="30"/>
        </w:rPr>
        <w:t>名于</w:t>
      </w:r>
      <w:r>
        <w:rPr>
          <w:rFonts w:eastAsia="仿宋" w:cs="Times New Roman"/>
          <w:sz w:val="30"/>
          <w:szCs w:val="30"/>
        </w:rPr>
        <w:t>2019</w:t>
      </w:r>
      <w:r>
        <w:rPr>
          <w:rFonts w:hAnsi="仿宋" w:eastAsia="仿宋" w:cs="Times New Roman"/>
          <w:sz w:val="30"/>
          <w:szCs w:val="30"/>
        </w:rPr>
        <w:t>年年满</w:t>
      </w:r>
      <w:r>
        <w:rPr>
          <w:rFonts w:eastAsia="仿宋" w:cs="Times New Roman"/>
          <w:sz w:val="30"/>
          <w:szCs w:val="30"/>
        </w:rPr>
        <w:t>80</w:t>
      </w:r>
      <w:r>
        <w:rPr>
          <w:rFonts w:hAnsi="仿宋" w:eastAsia="仿宋" w:cs="Times New Roman"/>
          <w:sz w:val="30"/>
          <w:szCs w:val="30"/>
        </w:rPr>
        <w:t>周岁老同志发生日蛋糕，代发建国</w:t>
      </w:r>
      <w:r>
        <w:rPr>
          <w:rFonts w:eastAsia="仿宋" w:cs="Times New Roman"/>
          <w:sz w:val="30"/>
          <w:szCs w:val="30"/>
        </w:rPr>
        <w:t>70</w:t>
      </w:r>
      <w:r>
        <w:rPr>
          <w:rFonts w:hAnsi="仿宋" w:eastAsia="仿宋" w:cs="Times New Roman"/>
          <w:sz w:val="30"/>
          <w:szCs w:val="30"/>
        </w:rPr>
        <w:t>周年纪念章</w:t>
      </w:r>
      <w:r>
        <w:rPr>
          <w:rFonts w:eastAsia="仿宋" w:cs="Times New Roman"/>
          <w:sz w:val="30"/>
          <w:szCs w:val="30"/>
        </w:rPr>
        <w:t>3</w:t>
      </w:r>
      <w:r>
        <w:rPr>
          <w:rFonts w:hAnsi="仿宋" w:eastAsia="仿宋" w:cs="Times New Roman"/>
          <w:sz w:val="30"/>
          <w:szCs w:val="30"/>
        </w:rPr>
        <w:t>人次。</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7</w:t>
      </w:r>
      <w:r>
        <w:rPr>
          <w:rFonts w:ascii="Times New Roman" w:hAnsi="仿宋" w:eastAsia="仿宋" w:cs="Times New Roman"/>
          <w:sz w:val="30"/>
          <w:szCs w:val="30"/>
        </w:rPr>
        <w:t>、攻坚克难，扎实推进畜牧生产基地搬迁改造项目实施。</w:t>
      </w:r>
    </w:p>
    <w:p>
      <w:pPr>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一是认真开展小哨畜禽基地资产置换项目土地移交工作。根据《滇中新区管理委员会云南省农业厅小哨畜禽基地资产置换协议》要求，积极配合小哨资产置换指挥部、滇中产业新区等各有关部门开展小哨片区国有土地清退移交工作。二是认真开展云南山地牧业科技示范园区建设各项工作。为推动滇中新区建设，密切配合小哨资产置换指挥部、省发改委代建办、代建单位等有关部门，认真做好山地牧业马龙项目实施各项工作。目前，已完成土地征收补偿、牧草种植、大部分畜禽科研、养殖基地建设工作，正在积极协调办理土地征收报批相关手续；加紧推进示范园生产区、园区道路、给水净化项目、污水处理项目和永久用电项目建设。</w:t>
      </w:r>
    </w:p>
    <w:p>
      <w:pPr>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三是认真开展维稳工作。针对部分承租户、职工子女及家属上访等实际，通过入户走访、召开座谈会、交心谈心等办法，疏导情绪，宣传国家政策和搬迁标准，认真做好维稳各项工作。</w:t>
      </w: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二、部门基本情况</w:t>
      </w:r>
    </w:p>
    <w:p>
      <w:pPr>
        <w:autoSpaceDE w:val="0"/>
        <w:autoSpaceDN w:val="0"/>
        <w:adjustRightInd w:val="0"/>
        <w:spacing w:line="59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（一）部门决算单位构成</w:t>
      </w:r>
    </w:p>
    <w:p>
      <w:pPr>
        <w:autoSpaceDE w:val="0"/>
        <w:autoSpaceDN w:val="0"/>
        <w:adjustRightInd w:val="0"/>
        <w:spacing w:line="590" w:lineRule="exact"/>
        <w:ind w:firstLine="600" w:firstLineChars="200"/>
        <w:rPr>
          <w:rFonts w:ascii="Times New Roman" w:hAnsi="Times New Roman" w:eastAsia="仿宋" w:cs="Times New Roman"/>
          <w:kern w:val="0"/>
          <w:sz w:val="30"/>
          <w:szCs w:val="30"/>
        </w:rPr>
      </w:pPr>
      <w:r>
        <w:rPr>
          <w:rFonts w:ascii="Times New Roman" w:hAnsi="Times New Roman" w:eastAsia="仿宋" w:cs="Times New Roman"/>
          <w:kern w:val="0"/>
          <w:sz w:val="30"/>
          <w:szCs w:val="30"/>
        </w:rPr>
        <w:t>纳入云南省种畜繁育推广中心2019年度部门决算编报的单位共1个。</w:t>
      </w:r>
    </w:p>
    <w:p>
      <w:pPr>
        <w:autoSpaceDE w:val="0"/>
        <w:autoSpaceDN w:val="0"/>
        <w:adjustRightInd w:val="0"/>
        <w:spacing w:line="59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（二）部门人员和车辆的编制及实有情况</w:t>
      </w:r>
    </w:p>
    <w:p>
      <w:pPr>
        <w:autoSpaceDE w:val="0"/>
        <w:autoSpaceDN w:val="0"/>
        <w:adjustRightInd w:val="0"/>
        <w:spacing w:line="590" w:lineRule="exact"/>
        <w:ind w:firstLine="600" w:firstLineChars="200"/>
        <w:rPr>
          <w:rFonts w:ascii="Times New Roman" w:hAnsi="仿宋" w:eastAsia="仿宋" w:cs="Times New Roman"/>
          <w:sz w:val="30"/>
          <w:szCs w:val="30"/>
        </w:rPr>
      </w:pPr>
      <w:r>
        <w:rPr>
          <w:rFonts w:ascii="Times New Roman" w:hAnsi="仿宋" w:eastAsia="仿宋" w:cs="Times New Roman"/>
          <w:sz w:val="30"/>
          <w:szCs w:val="30"/>
        </w:rPr>
        <w:t>云南省种畜繁育推广中心2019年末实有人员编制174人。其中：行政编制</w:t>
      </w:r>
      <w:r>
        <w:rPr>
          <w:rFonts w:hint="eastAsia" w:ascii="Times New Roman" w:hAnsi="仿宋" w:eastAsia="仿宋" w:cs="Times New Roman"/>
          <w:sz w:val="30"/>
          <w:szCs w:val="30"/>
        </w:rPr>
        <w:t>0</w:t>
      </w:r>
      <w:r>
        <w:rPr>
          <w:rFonts w:ascii="Times New Roman" w:hAnsi="仿宋" w:eastAsia="仿宋" w:cs="Times New Roman"/>
          <w:sz w:val="30"/>
          <w:szCs w:val="30"/>
        </w:rPr>
        <w:t>人（含行政工勤编制</w:t>
      </w:r>
      <w:r>
        <w:rPr>
          <w:rFonts w:hint="eastAsia" w:ascii="Times New Roman" w:hAnsi="仿宋" w:eastAsia="仿宋" w:cs="Times New Roman"/>
          <w:sz w:val="30"/>
          <w:szCs w:val="30"/>
        </w:rPr>
        <w:t>0</w:t>
      </w:r>
      <w:r>
        <w:rPr>
          <w:rFonts w:ascii="Times New Roman" w:hAnsi="仿宋" w:eastAsia="仿宋" w:cs="Times New Roman"/>
          <w:sz w:val="30"/>
          <w:szCs w:val="30"/>
        </w:rPr>
        <w:t>人），事业编制</w:t>
      </w:r>
      <w:r>
        <w:rPr>
          <w:rFonts w:hint="eastAsia" w:ascii="Times New Roman" w:hAnsi="仿宋" w:eastAsia="仿宋" w:cs="Times New Roman"/>
          <w:sz w:val="30"/>
          <w:szCs w:val="30"/>
        </w:rPr>
        <w:t>0</w:t>
      </w:r>
      <w:r>
        <w:rPr>
          <w:rFonts w:ascii="Times New Roman" w:hAnsi="仿宋" w:eastAsia="仿宋" w:cs="Times New Roman"/>
          <w:sz w:val="30"/>
          <w:szCs w:val="30"/>
        </w:rPr>
        <w:t>人（含参公管理事业编制</w:t>
      </w:r>
      <w:r>
        <w:rPr>
          <w:rFonts w:hint="eastAsia" w:ascii="Times New Roman" w:hAnsi="仿宋" w:eastAsia="仿宋" w:cs="Times New Roman"/>
          <w:sz w:val="30"/>
          <w:szCs w:val="30"/>
        </w:rPr>
        <w:t>0</w:t>
      </w:r>
      <w:r>
        <w:rPr>
          <w:rFonts w:ascii="Times New Roman" w:hAnsi="仿宋" w:eastAsia="仿宋" w:cs="Times New Roman"/>
          <w:sz w:val="30"/>
          <w:szCs w:val="30"/>
        </w:rPr>
        <w:t>人）；在职在编实有行政人员0人（含行政工勤人员XX人），事业人员98人（含参公管理事业人员0人），其他人员0</w:t>
      </w:r>
      <w:r>
        <w:rPr>
          <w:rFonts w:hint="eastAsia" w:ascii="Times New Roman" w:hAnsi="仿宋" w:eastAsia="仿宋" w:cs="Times New Roman"/>
          <w:sz w:val="30"/>
          <w:szCs w:val="30"/>
        </w:rPr>
        <w:t>人。</w:t>
      </w:r>
      <w:r>
        <w:rPr>
          <w:rFonts w:ascii="Times New Roman" w:hAnsi="仿宋" w:eastAsia="仿宋" w:cs="Times New Roman"/>
          <w:sz w:val="30"/>
          <w:szCs w:val="30"/>
        </w:rPr>
        <w:t xml:space="preserve"> </w:t>
      </w:r>
    </w:p>
    <w:p>
      <w:pPr>
        <w:autoSpaceDE w:val="0"/>
        <w:autoSpaceDN w:val="0"/>
        <w:adjustRightInd w:val="0"/>
        <w:spacing w:line="590" w:lineRule="exact"/>
        <w:ind w:firstLine="600" w:firstLineChars="200"/>
        <w:rPr>
          <w:rFonts w:ascii="Times New Roman" w:hAnsi="仿宋" w:eastAsia="仿宋" w:cs="Times New Roman"/>
          <w:sz w:val="30"/>
          <w:szCs w:val="30"/>
        </w:rPr>
      </w:pPr>
    </w:p>
    <w:p>
      <w:pPr>
        <w:snapToGrid w:val="0"/>
        <w:spacing w:line="360" w:lineRule="auto"/>
        <w:ind w:firstLine="600" w:firstLineChars="200"/>
        <w:rPr>
          <w:rFonts w:ascii="Times New Roman" w:hAnsi="Times New Roman" w:eastAsia="仿宋" w:cs="Times New Roman"/>
          <w:sz w:val="30"/>
          <w:szCs w:val="30"/>
        </w:rPr>
      </w:pPr>
      <w:r>
        <w:rPr>
          <w:rFonts w:ascii="Times New Roman" w:eastAsia="仿宋" w:cs="Times New Roman"/>
          <w:sz w:val="30"/>
          <w:szCs w:val="30"/>
        </w:rPr>
        <w:t>离退休人员</w:t>
      </w:r>
      <w:r>
        <w:rPr>
          <w:rFonts w:ascii="Times New Roman" w:hAnsi="Times New Roman" w:eastAsia="仿宋" w:cs="Times New Roman"/>
          <w:sz w:val="30"/>
          <w:szCs w:val="30"/>
        </w:rPr>
        <w:t>441</w:t>
      </w:r>
      <w:r>
        <w:rPr>
          <w:rFonts w:ascii="Times New Roman" w:eastAsia="仿宋" w:cs="Times New Roman"/>
          <w:sz w:val="30"/>
          <w:szCs w:val="30"/>
        </w:rPr>
        <w:t>人，离休人员</w:t>
      </w:r>
      <w:r>
        <w:rPr>
          <w:rFonts w:ascii="Times New Roman" w:hAnsi="Times New Roman" w:eastAsia="仿宋" w:cs="Times New Roman"/>
          <w:sz w:val="30"/>
          <w:szCs w:val="30"/>
        </w:rPr>
        <w:t>3</w:t>
      </w:r>
      <w:r>
        <w:rPr>
          <w:rFonts w:ascii="Times New Roman" w:eastAsia="仿宋" w:cs="Times New Roman"/>
          <w:sz w:val="30"/>
          <w:szCs w:val="30"/>
        </w:rPr>
        <w:t>人，退休人员</w:t>
      </w:r>
      <w:r>
        <w:rPr>
          <w:rFonts w:ascii="Times New Roman" w:hAnsi="Times New Roman" w:eastAsia="仿宋" w:cs="Times New Roman"/>
          <w:sz w:val="30"/>
          <w:szCs w:val="30"/>
        </w:rPr>
        <w:t>438</w:t>
      </w:r>
      <w:r>
        <w:rPr>
          <w:rFonts w:ascii="Times New Roman" w:eastAsia="仿宋" w:cs="Times New Roman"/>
          <w:sz w:val="30"/>
          <w:szCs w:val="30"/>
        </w:rPr>
        <w:t>人。</w:t>
      </w:r>
    </w:p>
    <w:p>
      <w:pPr>
        <w:snapToGrid w:val="0"/>
        <w:spacing w:line="360" w:lineRule="auto"/>
        <w:ind w:firstLine="600" w:firstLineChars="200"/>
        <w:rPr>
          <w:rFonts w:ascii="Times New Roman" w:hAnsi="Times New Roman" w:eastAsia="仿宋" w:cs="Times New Roman"/>
          <w:kern w:val="0"/>
          <w:sz w:val="30"/>
          <w:szCs w:val="30"/>
        </w:rPr>
      </w:pPr>
      <w:r>
        <w:rPr>
          <w:rFonts w:ascii="Times New Roman" w:hAnsi="Times New Roman" w:eastAsia="仿宋" w:cs="Times New Roman"/>
          <w:kern w:val="0"/>
          <w:sz w:val="30"/>
          <w:szCs w:val="30"/>
        </w:rPr>
        <w:t>实有车辆编制</w:t>
      </w:r>
      <w:r>
        <w:rPr>
          <w:rFonts w:hint="eastAsia" w:ascii="Times New Roman" w:hAnsi="Times New Roman" w:eastAsia="仿宋" w:cs="Times New Roman"/>
          <w:sz w:val="30"/>
          <w:szCs w:val="30"/>
        </w:rPr>
        <w:t>10</w:t>
      </w:r>
      <w:r>
        <w:rPr>
          <w:rFonts w:ascii="Times New Roman" w:hAnsi="Times New Roman" w:eastAsia="仿宋" w:cs="Times New Roman"/>
          <w:kern w:val="0"/>
          <w:sz w:val="30"/>
          <w:szCs w:val="30"/>
        </w:rPr>
        <w:t>辆，在编实有车辆</w:t>
      </w:r>
      <w:r>
        <w:rPr>
          <w:rFonts w:ascii="Times New Roman" w:hAnsi="Times New Roman" w:eastAsia="仿宋" w:cs="Times New Roman"/>
          <w:sz w:val="30"/>
          <w:szCs w:val="30"/>
        </w:rPr>
        <w:t>9</w:t>
      </w:r>
      <w:r>
        <w:rPr>
          <w:rFonts w:ascii="Times New Roman" w:hAnsi="Times New Roman" w:eastAsia="仿宋" w:cs="Times New Roman"/>
          <w:kern w:val="0"/>
          <w:sz w:val="30"/>
          <w:szCs w:val="30"/>
        </w:rPr>
        <w:t>辆。</w:t>
      </w:r>
    </w:p>
    <w:p>
      <w:pPr>
        <w:snapToGrid w:val="0"/>
        <w:spacing w:line="360" w:lineRule="auto"/>
        <w:ind w:firstLine="600" w:firstLineChars="200"/>
        <w:rPr>
          <w:rFonts w:ascii="Times New Roman" w:hAnsi="Times New Roman" w:eastAsia="仿宋" w:cs="Times New Roman"/>
          <w:sz w:val="30"/>
          <w:szCs w:val="30"/>
        </w:rPr>
      </w:pPr>
    </w:p>
    <w:p>
      <w:pPr>
        <w:autoSpaceDE w:val="0"/>
        <w:autoSpaceDN w:val="0"/>
        <w:adjustRightInd w:val="0"/>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第二部分  2019年度部门决算表</w:t>
      </w:r>
    </w:p>
    <w:p>
      <w:pPr>
        <w:autoSpaceDE w:val="0"/>
        <w:autoSpaceDN w:val="0"/>
        <w:adjustRightInd w:val="0"/>
        <w:spacing w:line="590" w:lineRule="exact"/>
        <w:jc w:val="center"/>
        <w:rPr>
          <w:rFonts w:ascii="Times New Roman" w:hAnsi="Times New Roman" w:eastAsia="仿宋" w:cs="Times New Roman"/>
          <w:sz w:val="30"/>
          <w:szCs w:val="30"/>
        </w:rPr>
      </w:pPr>
      <w:r>
        <w:rPr>
          <w:rFonts w:hint="eastAsia" w:ascii="仿宋" w:hAnsi="Times New Roman" w:eastAsia="仿宋"/>
          <w:sz w:val="30"/>
          <w:szCs w:val="30"/>
        </w:rPr>
        <w:t>（详见附件）</w:t>
      </w:r>
    </w:p>
    <w:p>
      <w:pPr>
        <w:autoSpaceDE w:val="0"/>
        <w:autoSpaceDN w:val="0"/>
        <w:adjustRightInd w:val="0"/>
        <w:spacing w:line="590" w:lineRule="exact"/>
        <w:jc w:val="center"/>
        <w:rPr>
          <w:rFonts w:ascii="Times New Roman" w:hAnsi="Times New Roman" w:eastAsia="仿宋" w:cs="Times New Roman"/>
          <w:sz w:val="30"/>
          <w:szCs w:val="30"/>
        </w:rPr>
      </w:pPr>
    </w:p>
    <w:p>
      <w:pPr>
        <w:autoSpaceDE w:val="0"/>
        <w:autoSpaceDN w:val="0"/>
        <w:adjustRightInd w:val="0"/>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第三部分  2019年度部门决算情况说明</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一、收入决算情况说明</w:t>
      </w:r>
    </w:p>
    <w:p>
      <w:pPr>
        <w:autoSpaceDE w:val="0"/>
        <w:autoSpaceDN w:val="0"/>
        <w:adjustRightInd w:val="0"/>
        <w:spacing w:line="590" w:lineRule="exact"/>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云南省种畜繁育推广中心</w:t>
      </w:r>
      <w:r>
        <w:rPr>
          <w:rFonts w:ascii="Times New Roman" w:hAnsi="Times New Roman" w:eastAsia="仿宋" w:cs="Times New Roman"/>
          <w:sz w:val="30"/>
          <w:szCs w:val="30"/>
        </w:rPr>
        <w:t>2019</w:t>
      </w:r>
      <w:r>
        <w:rPr>
          <w:rFonts w:ascii="Times New Roman" w:hAnsi="仿宋" w:eastAsia="仿宋" w:cs="Times New Roman"/>
          <w:sz w:val="30"/>
          <w:szCs w:val="30"/>
        </w:rPr>
        <w:t>年度收入合计</w:t>
      </w:r>
      <w:r>
        <w:rPr>
          <w:rFonts w:ascii="Times New Roman" w:hAnsi="Times New Roman" w:eastAsia="仿宋" w:cs="Times New Roman"/>
          <w:sz w:val="30"/>
          <w:szCs w:val="30"/>
        </w:rPr>
        <w:t>2,861.37</w:t>
      </w:r>
      <w:r>
        <w:rPr>
          <w:rFonts w:ascii="Times New Roman" w:hAnsi="仿宋" w:eastAsia="仿宋" w:cs="Times New Roman"/>
          <w:sz w:val="30"/>
          <w:szCs w:val="30"/>
        </w:rPr>
        <w:t>万元。其中：财政拨款收入</w:t>
      </w:r>
      <w:r>
        <w:rPr>
          <w:rFonts w:ascii="Times New Roman" w:hAnsi="Times New Roman" w:eastAsia="仿宋" w:cs="Times New Roman"/>
          <w:sz w:val="30"/>
          <w:szCs w:val="30"/>
        </w:rPr>
        <w:t>669.25</w:t>
      </w:r>
      <w:r>
        <w:rPr>
          <w:rFonts w:ascii="Times New Roman" w:hAnsi="仿宋" w:eastAsia="仿宋" w:cs="Times New Roman"/>
          <w:sz w:val="30"/>
          <w:szCs w:val="30"/>
        </w:rPr>
        <w:t>万元，占总收入的</w:t>
      </w:r>
      <w:r>
        <w:rPr>
          <w:rFonts w:ascii="Times New Roman" w:hAnsi="Times New Roman" w:eastAsia="仿宋" w:cs="Times New Roman"/>
          <w:sz w:val="30"/>
          <w:szCs w:val="30"/>
        </w:rPr>
        <w:t>23.39%</w:t>
      </w:r>
      <w:r>
        <w:rPr>
          <w:rFonts w:ascii="Times New Roman" w:hAnsi="仿宋" w:eastAsia="仿宋" w:cs="Times New Roman"/>
          <w:sz w:val="30"/>
          <w:szCs w:val="30"/>
        </w:rPr>
        <w:t>；上级补助收入</w:t>
      </w:r>
      <w:r>
        <w:rPr>
          <w:rFonts w:ascii="Times New Roman" w:hAnsi="Times New Roman" w:eastAsia="仿宋" w:cs="Times New Roman"/>
          <w:sz w:val="30"/>
          <w:szCs w:val="30"/>
        </w:rPr>
        <w:t>0.00</w:t>
      </w:r>
      <w:r>
        <w:rPr>
          <w:rFonts w:ascii="Times New Roman" w:hAnsi="仿宋" w:eastAsia="仿宋" w:cs="Times New Roman"/>
          <w:sz w:val="30"/>
          <w:szCs w:val="30"/>
        </w:rPr>
        <w:t>万元，占总收入的</w:t>
      </w:r>
      <w:r>
        <w:rPr>
          <w:rFonts w:ascii="Times New Roman" w:hAnsi="Times New Roman" w:eastAsia="仿宋" w:cs="Times New Roman"/>
          <w:sz w:val="30"/>
          <w:szCs w:val="30"/>
        </w:rPr>
        <w:t>0.00%</w:t>
      </w:r>
      <w:r>
        <w:rPr>
          <w:rFonts w:ascii="Times New Roman" w:hAnsi="仿宋" w:eastAsia="仿宋" w:cs="Times New Roman"/>
          <w:sz w:val="30"/>
          <w:szCs w:val="30"/>
        </w:rPr>
        <w:t>；事业收入</w:t>
      </w:r>
      <w:r>
        <w:rPr>
          <w:rFonts w:ascii="Times New Roman" w:hAnsi="Times New Roman" w:eastAsia="仿宋" w:cs="Times New Roman"/>
          <w:sz w:val="30"/>
          <w:szCs w:val="30"/>
        </w:rPr>
        <w:t>0.00</w:t>
      </w:r>
      <w:r>
        <w:rPr>
          <w:rFonts w:ascii="Times New Roman" w:hAnsi="仿宋" w:eastAsia="仿宋" w:cs="Times New Roman"/>
          <w:sz w:val="30"/>
          <w:szCs w:val="30"/>
        </w:rPr>
        <w:t>万元，占总收入的</w:t>
      </w:r>
      <w:r>
        <w:rPr>
          <w:rFonts w:ascii="Times New Roman" w:hAnsi="Times New Roman" w:eastAsia="仿宋" w:cs="Times New Roman"/>
          <w:sz w:val="30"/>
          <w:szCs w:val="30"/>
        </w:rPr>
        <w:t>0.00%</w:t>
      </w:r>
      <w:r>
        <w:rPr>
          <w:rFonts w:ascii="Times New Roman" w:hAnsi="仿宋" w:eastAsia="仿宋" w:cs="Times New Roman"/>
          <w:sz w:val="30"/>
          <w:szCs w:val="30"/>
        </w:rPr>
        <w:t>；经营收入</w:t>
      </w:r>
      <w:r>
        <w:rPr>
          <w:rFonts w:ascii="Times New Roman" w:hAnsi="Times New Roman" w:eastAsia="仿宋" w:cs="Times New Roman"/>
          <w:sz w:val="30"/>
          <w:szCs w:val="30"/>
        </w:rPr>
        <w:t>2,192.12</w:t>
      </w:r>
      <w:r>
        <w:rPr>
          <w:rFonts w:ascii="Times New Roman" w:hAnsi="仿宋" w:eastAsia="仿宋" w:cs="Times New Roman"/>
          <w:sz w:val="30"/>
          <w:szCs w:val="30"/>
        </w:rPr>
        <w:t>万元，占总收入的</w:t>
      </w:r>
      <w:r>
        <w:rPr>
          <w:rFonts w:ascii="Times New Roman" w:hAnsi="Times New Roman" w:eastAsia="仿宋" w:cs="Times New Roman"/>
          <w:sz w:val="30"/>
          <w:szCs w:val="30"/>
        </w:rPr>
        <w:t>76.61%</w:t>
      </w:r>
      <w:r>
        <w:rPr>
          <w:rFonts w:ascii="Times New Roman" w:hAnsi="仿宋" w:eastAsia="仿宋" w:cs="Times New Roman"/>
          <w:sz w:val="30"/>
          <w:szCs w:val="30"/>
        </w:rPr>
        <w:t>；附属单位缴款收入</w:t>
      </w:r>
      <w:r>
        <w:rPr>
          <w:rFonts w:ascii="Times New Roman" w:hAnsi="Times New Roman" w:eastAsia="仿宋" w:cs="Times New Roman"/>
          <w:sz w:val="30"/>
          <w:szCs w:val="30"/>
        </w:rPr>
        <w:t>0.00</w:t>
      </w:r>
      <w:r>
        <w:rPr>
          <w:rFonts w:ascii="Times New Roman" w:hAnsi="仿宋" w:eastAsia="仿宋" w:cs="Times New Roman"/>
          <w:sz w:val="30"/>
          <w:szCs w:val="30"/>
        </w:rPr>
        <w:t>万元，占总收入的</w:t>
      </w:r>
      <w:r>
        <w:rPr>
          <w:rFonts w:ascii="Times New Roman" w:hAnsi="Times New Roman" w:eastAsia="仿宋" w:cs="Times New Roman"/>
          <w:sz w:val="30"/>
          <w:szCs w:val="30"/>
        </w:rPr>
        <w:t>0.00%</w:t>
      </w:r>
      <w:r>
        <w:rPr>
          <w:rFonts w:ascii="Times New Roman" w:hAnsi="仿宋" w:eastAsia="仿宋" w:cs="Times New Roman"/>
          <w:sz w:val="30"/>
          <w:szCs w:val="30"/>
        </w:rPr>
        <w:t>；其他收入</w:t>
      </w:r>
      <w:r>
        <w:rPr>
          <w:rFonts w:ascii="Times New Roman" w:hAnsi="Times New Roman" w:eastAsia="仿宋" w:cs="Times New Roman"/>
          <w:sz w:val="30"/>
          <w:szCs w:val="30"/>
        </w:rPr>
        <w:t>0.00</w:t>
      </w:r>
      <w:r>
        <w:rPr>
          <w:rFonts w:ascii="Times New Roman" w:hAnsi="仿宋" w:eastAsia="仿宋" w:cs="Times New Roman"/>
          <w:sz w:val="30"/>
          <w:szCs w:val="30"/>
        </w:rPr>
        <w:t>万元，占总收入的</w:t>
      </w:r>
      <w:r>
        <w:rPr>
          <w:rFonts w:ascii="Times New Roman" w:hAnsi="Times New Roman" w:eastAsia="仿宋" w:cs="Times New Roman"/>
          <w:sz w:val="30"/>
          <w:szCs w:val="30"/>
        </w:rPr>
        <w:t>0.00%</w:t>
      </w:r>
      <w:r>
        <w:rPr>
          <w:rFonts w:ascii="Times New Roman" w:hAnsi="仿宋" w:eastAsia="仿宋" w:cs="Times New Roman"/>
          <w:sz w:val="30"/>
          <w:szCs w:val="30"/>
        </w:rPr>
        <w:t>。</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0" distR="0">
            <wp:extent cx="3992880" cy="2734310"/>
            <wp:effectExtent l="12196" t="6096" r="4529" b="2452"/>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napToGrid w:val="0"/>
        <w:rPr>
          <w:rFonts w:ascii="Times New Roman" w:hAnsi="Times New Roman" w:eastAsia="仿宋" w:cs="Times New Roman"/>
          <w:sz w:val="32"/>
          <w:szCs w:val="32"/>
        </w:rPr>
      </w:pPr>
    </w:p>
    <w:p>
      <w:pPr>
        <w:pStyle w:val="2"/>
        <w:jc w:val="center"/>
        <w:rPr>
          <w:rFonts w:ascii="Times New Roman" w:hAnsi="Times New Roman"/>
          <w:color w:val="000000"/>
          <w:sz w:val="21"/>
          <w:szCs w:val="21"/>
        </w:rPr>
      </w:pPr>
      <w:r>
        <w:rPr>
          <w:rFonts w:ascii="Times New Roman" w:hAnsi="Times New Roman"/>
          <w:color w:val="000000"/>
          <w:sz w:val="21"/>
          <w:szCs w:val="21"/>
        </w:rPr>
        <w:t xml:space="preserve">     </w:t>
      </w:r>
      <w:r>
        <w:rPr>
          <w:rFonts w:ascii="Times New Roman"/>
          <w:color w:val="000000"/>
          <w:sz w:val="21"/>
          <w:szCs w:val="21"/>
        </w:rPr>
        <w:t>图表</w:t>
      </w:r>
      <w:r>
        <w:rPr>
          <w:rFonts w:ascii="Times New Roman" w:hAnsi="Times New Roman"/>
          <w:color w:val="000000"/>
          <w:sz w:val="21"/>
          <w:szCs w:val="21"/>
        </w:rPr>
        <w:t xml:space="preserve"> 1   2019</w:t>
      </w:r>
      <w:r>
        <w:rPr>
          <w:rFonts w:ascii="Times New Roman"/>
          <w:color w:val="000000"/>
          <w:sz w:val="21"/>
          <w:szCs w:val="21"/>
        </w:rPr>
        <w:t>年度收入构成情况图</w:t>
      </w:r>
      <w:r>
        <w:rPr>
          <w:rFonts w:ascii="Times New Roman" w:hAnsi="Times New Roman"/>
          <w:color w:val="000000"/>
          <w:sz w:val="21"/>
          <w:szCs w:val="21"/>
        </w:rPr>
        <w:t xml:space="preserve">            </w:t>
      </w:r>
      <w:r>
        <w:rPr>
          <w:rFonts w:ascii="Times New Roman"/>
          <w:color w:val="000000"/>
          <w:sz w:val="21"/>
          <w:szCs w:val="21"/>
        </w:rPr>
        <w:t>单位：万元</w:t>
      </w:r>
    </w:p>
    <w:p>
      <w:pPr>
        <w:rPr>
          <w:rFonts w:ascii="Times New Roman" w:hAnsi="Times New Roman" w:cs="Times New Roman"/>
        </w:rPr>
      </w:pPr>
    </w:p>
    <w:p>
      <w:pPr>
        <w:snapToGrid w:val="0"/>
        <w:spacing w:line="360" w:lineRule="auto"/>
        <w:ind w:firstLine="420" w:firstLineChars="200"/>
        <w:rPr>
          <w:rFonts w:ascii="Times New Roman" w:hAnsi="Times New Roman" w:eastAsia="仿宋" w:cs="Times New Roman"/>
          <w:sz w:val="32"/>
          <w:szCs w:val="32"/>
        </w:rPr>
      </w:pPr>
      <w:r>
        <w:rPr>
          <w:rFonts w:ascii="Times New Roman" w:hAnsi="Times New Roman" w:cs="Times New Roman"/>
        </w:rPr>
        <w:pict>
          <v:shape id="_x0000_s2050" o:spid="_x0000_s2050" o:spt="75" type="#_x0000_t75" style="position:absolute;left:0pt;margin-left:-3.75pt;margin-top:65.65pt;height:165.7pt;width:427.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6" o:title=""/>
            <o:lock v:ext="edit" aspectratio="t"/>
            <w10:wrap type="square"/>
          </v:shape>
          <o:OLEObject Type="Embed" ProgID="Excel.Sheet.12" ShapeID="_x0000_s2050" DrawAspect="Content" ObjectID="_1468075725" r:id="rId5">
            <o:LockedField>false</o:LockedField>
          </o:OLEObject>
        </w:pict>
      </w:r>
      <w:r>
        <w:rPr>
          <w:rFonts w:ascii="Times New Roman" w:eastAsia="仿宋" w:cs="Times New Roman"/>
          <w:sz w:val="32"/>
          <w:szCs w:val="32"/>
        </w:rPr>
        <w:t>与上年对比，单位总收入比上年减少</w:t>
      </w:r>
      <w:r>
        <w:rPr>
          <w:rFonts w:ascii="Times New Roman" w:hAnsi="Times New Roman" w:eastAsia="仿宋" w:cs="Times New Roman"/>
          <w:sz w:val="32"/>
          <w:szCs w:val="32"/>
        </w:rPr>
        <w:t>528.88</w:t>
      </w:r>
      <w:r>
        <w:rPr>
          <w:rFonts w:ascii="Times New Roman" w:eastAsia="仿宋" w:cs="Times New Roman"/>
          <w:sz w:val="32"/>
          <w:szCs w:val="32"/>
        </w:rPr>
        <w:t>万元，降幅为</w:t>
      </w:r>
      <w:r>
        <w:rPr>
          <w:rFonts w:ascii="Times New Roman" w:hAnsi="Times New Roman" w:eastAsia="仿宋" w:cs="Times New Roman"/>
          <w:sz w:val="32"/>
          <w:szCs w:val="32"/>
        </w:rPr>
        <w:t>15.60%</w:t>
      </w:r>
      <w:r>
        <w:rPr>
          <w:rFonts w:ascii="Times New Roman" w:eastAsia="仿宋" w:cs="Times New Roman"/>
          <w:sz w:val="32"/>
          <w:szCs w:val="32"/>
        </w:rPr>
        <w:t>，详见下表：</w:t>
      </w:r>
    </w:p>
    <w:p>
      <w:pPr>
        <w:pStyle w:val="2"/>
        <w:rPr>
          <w:rFonts w:ascii="Times New Roman" w:hAnsi="Times New Roman"/>
          <w:color w:val="000000"/>
          <w:sz w:val="21"/>
          <w:szCs w:val="21"/>
        </w:rPr>
      </w:pPr>
    </w:p>
    <w:p>
      <w:pPr>
        <w:pStyle w:val="2"/>
        <w:ind w:firstLine="420" w:firstLineChars="200"/>
        <w:rPr>
          <w:rFonts w:ascii="Times New Roman" w:hAnsi="Times New Roman"/>
          <w:color w:val="000000"/>
          <w:sz w:val="21"/>
          <w:szCs w:val="21"/>
        </w:rPr>
      </w:pPr>
      <w:r>
        <w:rPr>
          <w:rFonts w:ascii="Times New Roman" w:hAnsi="Times New Roman"/>
          <w:color w:val="000000"/>
          <w:sz w:val="21"/>
          <w:szCs w:val="21"/>
        </w:rPr>
        <w:t xml:space="preserve">           </w:t>
      </w:r>
      <w:r>
        <w:rPr>
          <w:rFonts w:ascii="Times New Roman"/>
          <w:color w:val="000000"/>
          <w:sz w:val="21"/>
          <w:szCs w:val="21"/>
        </w:rPr>
        <w:t>图表</w:t>
      </w:r>
      <w:r>
        <w:rPr>
          <w:rFonts w:ascii="Times New Roman" w:hAnsi="Times New Roman"/>
          <w:color w:val="000000"/>
          <w:sz w:val="21"/>
          <w:szCs w:val="21"/>
        </w:rPr>
        <w:t>2   2019</w:t>
      </w:r>
      <w:r>
        <w:rPr>
          <w:rFonts w:ascii="Times New Roman"/>
          <w:color w:val="000000"/>
          <w:sz w:val="21"/>
          <w:szCs w:val="21"/>
        </w:rPr>
        <w:t>年度单位收入与上年收入增减情况对比分析表</w:t>
      </w:r>
      <w:r>
        <w:rPr>
          <w:rFonts w:ascii="Times New Roman" w:hAnsi="Times New Roman"/>
          <w:color w:val="000000"/>
          <w:sz w:val="21"/>
          <w:szCs w:val="21"/>
        </w:rPr>
        <w:t xml:space="preserve">       </w:t>
      </w:r>
      <w:r>
        <w:rPr>
          <w:rFonts w:ascii="Times New Roman"/>
          <w:color w:val="000000"/>
          <w:sz w:val="21"/>
          <w:szCs w:val="21"/>
        </w:rPr>
        <w:t>单位：万元</w:t>
      </w:r>
    </w:p>
    <w:p>
      <w:pPr>
        <w:rPr>
          <w:rFonts w:ascii="Times New Roman" w:hAnsi="Times New Roman" w:cs="Times New Roman"/>
        </w:rPr>
      </w:pPr>
    </w:p>
    <w:p>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其中：财政拨款收入减少</w:t>
      </w:r>
      <w:r>
        <w:rPr>
          <w:rFonts w:ascii="Times New Roman" w:hAnsi="Times New Roman" w:eastAsia="仿宋" w:cs="Times New Roman"/>
          <w:sz w:val="30"/>
          <w:szCs w:val="30"/>
        </w:rPr>
        <w:t>965.93</w:t>
      </w:r>
      <w:r>
        <w:rPr>
          <w:rFonts w:ascii="Times New Roman" w:hAnsi="仿宋" w:eastAsia="仿宋" w:cs="Times New Roman"/>
          <w:sz w:val="30"/>
          <w:szCs w:val="30"/>
        </w:rPr>
        <w:t>万元，一是由于</w:t>
      </w:r>
      <w:r>
        <w:rPr>
          <w:rFonts w:ascii="Times New Roman" w:hAnsi="仿宋" w:eastAsia="仿宋" w:cs="Times New Roman"/>
          <w:kern w:val="0"/>
          <w:sz w:val="30"/>
          <w:szCs w:val="30"/>
        </w:rPr>
        <w:t>财政调整人员经费供给方式，减少人员经费；二是</w:t>
      </w:r>
      <w:r>
        <w:rPr>
          <w:rFonts w:ascii="Times New Roman" w:hAnsi="仿宋" w:eastAsia="仿宋" w:cs="Times New Roman"/>
          <w:sz w:val="30"/>
          <w:szCs w:val="30"/>
        </w:rPr>
        <w:t>科技转化与推广服务</w:t>
      </w:r>
      <w:r>
        <w:rPr>
          <w:rFonts w:ascii="Times New Roman" w:hAnsi="Times New Roman" w:eastAsia="仿宋" w:cs="Times New Roman"/>
          <w:sz w:val="30"/>
          <w:szCs w:val="30"/>
        </w:rPr>
        <w:t>—</w:t>
      </w:r>
      <w:r>
        <w:rPr>
          <w:rFonts w:ascii="Times New Roman" w:hAnsi="仿宋" w:eastAsia="仿宋" w:cs="Times New Roman"/>
          <w:sz w:val="30"/>
          <w:szCs w:val="30"/>
        </w:rPr>
        <w:t>种畜生产发展专项补助资金减少</w:t>
      </w:r>
      <w:r>
        <w:rPr>
          <w:rFonts w:ascii="Times New Roman" w:hAnsi="Times New Roman" w:eastAsia="仿宋" w:cs="Times New Roman"/>
          <w:sz w:val="30"/>
          <w:szCs w:val="30"/>
        </w:rPr>
        <w:t>240</w:t>
      </w:r>
      <w:r>
        <w:rPr>
          <w:rFonts w:ascii="Times New Roman" w:hAnsi="仿宋" w:eastAsia="仿宋" w:cs="Times New Roman"/>
          <w:sz w:val="30"/>
          <w:szCs w:val="30"/>
        </w:rPr>
        <w:t>万元，农业资源保护修复与利用</w:t>
      </w:r>
      <w:r>
        <w:rPr>
          <w:rFonts w:ascii="Times New Roman" w:hAnsi="Times New Roman" w:eastAsia="仿宋" w:cs="Times New Roman"/>
          <w:sz w:val="30"/>
          <w:szCs w:val="30"/>
        </w:rPr>
        <w:t>—</w:t>
      </w:r>
      <w:r>
        <w:rPr>
          <w:rFonts w:ascii="Times New Roman" w:hAnsi="仿宋" w:eastAsia="仿宋" w:cs="Times New Roman"/>
          <w:sz w:val="30"/>
          <w:szCs w:val="30"/>
        </w:rPr>
        <w:t>农业资源及生态保护补助、其他农业支出</w:t>
      </w:r>
      <w:r>
        <w:rPr>
          <w:rFonts w:ascii="Times New Roman" w:hAnsi="Times New Roman" w:eastAsia="仿宋" w:cs="Times New Roman"/>
          <w:sz w:val="30"/>
          <w:szCs w:val="30"/>
        </w:rPr>
        <w:t>—</w:t>
      </w:r>
      <w:r>
        <w:rPr>
          <w:rFonts w:ascii="Times New Roman" w:hAnsi="仿宋" w:eastAsia="仿宋" w:cs="Times New Roman"/>
          <w:sz w:val="30"/>
          <w:szCs w:val="30"/>
        </w:rPr>
        <w:t>国有农场税费改革本年无财政拨款收入；</w:t>
      </w:r>
    </w:p>
    <w:p>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经营收入增加</w:t>
      </w:r>
      <w:r>
        <w:rPr>
          <w:rFonts w:ascii="Times New Roman" w:hAnsi="Times New Roman" w:eastAsia="仿宋" w:cs="Times New Roman"/>
          <w:sz w:val="30"/>
          <w:szCs w:val="30"/>
        </w:rPr>
        <w:t>437.05</w:t>
      </w:r>
      <w:r>
        <w:rPr>
          <w:rFonts w:ascii="Times New Roman" w:hAnsi="仿宋" w:eastAsia="仿宋" w:cs="Times New Roman"/>
          <w:sz w:val="30"/>
          <w:szCs w:val="30"/>
        </w:rPr>
        <w:t>万元，原因：一是</w:t>
      </w:r>
      <w:r>
        <w:rPr>
          <w:rFonts w:ascii="Times New Roman" w:hAnsi="Times New Roman" w:eastAsia="仿宋" w:cs="Times New Roman"/>
          <w:sz w:val="30"/>
          <w:szCs w:val="30"/>
        </w:rPr>
        <w:t>2019</w:t>
      </w:r>
      <w:r>
        <w:rPr>
          <w:rFonts w:ascii="Times New Roman" w:hAnsi="仿宋" w:eastAsia="仿宋" w:cs="Times New Roman"/>
          <w:sz w:val="30"/>
          <w:szCs w:val="30"/>
        </w:rPr>
        <w:t>年实行政府会计制度，上年经营收入为财务会计收入，本年经营收入为预算会计收入，对比口径不一致；二是从财务会计看，</w:t>
      </w:r>
      <w:r>
        <w:rPr>
          <w:rFonts w:ascii="Times New Roman" w:hAnsi="Times New Roman" w:eastAsia="仿宋" w:cs="Times New Roman"/>
          <w:sz w:val="30"/>
          <w:szCs w:val="30"/>
        </w:rPr>
        <w:t>2019</w:t>
      </w:r>
      <w:r>
        <w:rPr>
          <w:rFonts w:ascii="Times New Roman" w:hAnsi="仿宋" w:eastAsia="仿宋" w:cs="Times New Roman"/>
          <w:sz w:val="30"/>
          <w:szCs w:val="30"/>
        </w:rPr>
        <w:t>年度经营收入为</w:t>
      </w:r>
      <w:r>
        <w:rPr>
          <w:rFonts w:ascii="Times New Roman" w:hAnsi="Times New Roman" w:eastAsia="仿宋" w:cs="Times New Roman"/>
          <w:sz w:val="30"/>
          <w:szCs w:val="30"/>
        </w:rPr>
        <w:t>2,146.33</w:t>
      </w:r>
      <w:r>
        <w:rPr>
          <w:rFonts w:ascii="Times New Roman" w:hAnsi="仿宋" w:eastAsia="仿宋" w:cs="Times New Roman"/>
          <w:sz w:val="30"/>
          <w:szCs w:val="30"/>
        </w:rPr>
        <w:t>万元，与上年相比</w:t>
      </w:r>
      <w:r>
        <w:rPr>
          <w:rFonts w:ascii="Times New Roman" w:hAnsi="Times New Roman" w:eastAsia="仿宋" w:cs="Times New Roman"/>
          <w:sz w:val="30"/>
          <w:szCs w:val="30"/>
        </w:rPr>
        <w:t>2019</w:t>
      </w:r>
      <w:r>
        <w:rPr>
          <w:rFonts w:ascii="Times New Roman" w:hAnsi="仿宋" w:eastAsia="仿宋" w:cs="Times New Roman"/>
          <w:sz w:val="30"/>
          <w:szCs w:val="30"/>
        </w:rPr>
        <w:t>年经营收入增加</w:t>
      </w:r>
      <w:r>
        <w:rPr>
          <w:rFonts w:ascii="Times New Roman" w:hAnsi="Times New Roman" w:eastAsia="仿宋" w:cs="Times New Roman"/>
          <w:sz w:val="30"/>
          <w:szCs w:val="30"/>
        </w:rPr>
        <w:t>391.26</w:t>
      </w:r>
      <w:r>
        <w:rPr>
          <w:rFonts w:ascii="Times New Roman" w:hAnsi="仿宋" w:eastAsia="仿宋" w:cs="Times New Roman"/>
          <w:sz w:val="30"/>
          <w:szCs w:val="30"/>
        </w:rPr>
        <w:t>万元，由于市场需求因素，种牛、冻精销量在本年度有所增长。三是经营预算收入比财务会计经营收入多</w:t>
      </w:r>
      <w:r>
        <w:rPr>
          <w:rFonts w:ascii="Times New Roman" w:hAnsi="Times New Roman" w:eastAsia="仿宋" w:cs="Times New Roman"/>
          <w:sz w:val="30"/>
          <w:szCs w:val="30"/>
        </w:rPr>
        <w:t>45.79</w:t>
      </w:r>
      <w:r>
        <w:rPr>
          <w:rFonts w:ascii="Times New Roman" w:hAnsi="仿宋" w:eastAsia="仿宋" w:cs="Times New Roman"/>
          <w:sz w:val="30"/>
          <w:szCs w:val="30"/>
        </w:rPr>
        <w:t>万元，主要因为在销售业务中预算会计收入为含税收入，以及存在一些上年往来款项处理时当期确认为预算收入，但没有确认收入的差异。</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二、支出决算情况说明</w:t>
      </w:r>
    </w:p>
    <w:p>
      <w:pPr>
        <w:ind w:firstLine="600" w:firstLineChars="200"/>
        <w:rPr>
          <w:rFonts w:ascii="Times New Roman" w:hAnsi="Times New Roman" w:eastAsia="仿宋" w:cs="Times New Roman"/>
          <w:sz w:val="32"/>
          <w:szCs w:val="32"/>
        </w:rPr>
      </w:pPr>
      <w:r>
        <w:rPr>
          <w:rFonts w:ascii="Times New Roman" w:hAnsi="仿宋" w:eastAsia="仿宋" w:cs="Times New Roman"/>
          <w:kern w:val="0"/>
          <w:sz w:val="30"/>
          <w:szCs w:val="30"/>
        </w:rPr>
        <w:t>云南省种畜繁育推广中心2019年度支出合计3,147.55万元。其中：基本支出589.25万元，占总支出的18.72%；项目支出80.00万元，占总支出的2.54%；上缴上级支出、经营支出、对附属单位补助支出共2,478.30万元，占总支出的78.74%。</w:t>
      </w:r>
      <w:r>
        <w:rPr>
          <w:rFonts w:ascii="Times New Roman" w:hAnsi="仿宋" w:eastAsia="仿宋" w:cs="Times New Roman"/>
          <w:sz w:val="30"/>
          <w:szCs w:val="30"/>
        </w:rPr>
        <w:drawing>
          <wp:inline distT="0" distB="0" distL="0" distR="0">
            <wp:extent cx="4578985" cy="2746375"/>
            <wp:effectExtent l="12212" t="6093" r="8772"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napToGrid w:val="0"/>
        <w:rPr>
          <w:rFonts w:ascii="Times New Roman" w:hAnsi="Times New Roman" w:eastAsia="仿宋" w:cs="Times New Roman"/>
          <w:sz w:val="32"/>
          <w:szCs w:val="32"/>
        </w:rPr>
      </w:pPr>
    </w:p>
    <w:p>
      <w:pPr>
        <w:snapToGrid w:val="0"/>
        <w:ind w:firstLine="1575" w:firstLineChars="750"/>
        <w:rPr>
          <w:rFonts w:ascii="Times New Roman" w:hAnsi="Times New Roman" w:cs="Times New Roman"/>
          <w:color w:val="000000"/>
        </w:rPr>
      </w:pPr>
      <w:r>
        <w:rPr>
          <w:rFonts w:ascii="Times New Roman" w:cs="Times New Roman"/>
          <w:color w:val="000000"/>
        </w:rPr>
        <w:t>图表</w:t>
      </w:r>
      <w:r>
        <w:rPr>
          <w:rFonts w:ascii="Times New Roman" w:hAnsi="Times New Roman" w:cs="Times New Roman"/>
          <w:color w:val="000000"/>
        </w:rPr>
        <w:t>3   2019</w:t>
      </w:r>
      <w:r>
        <w:rPr>
          <w:rFonts w:ascii="Times New Roman" w:cs="Times New Roman"/>
          <w:color w:val="000000"/>
        </w:rPr>
        <w:t>年度支出构成情况图</w:t>
      </w:r>
      <w:r>
        <w:rPr>
          <w:rFonts w:ascii="Times New Roman" w:hAnsi="Times New Roman" w:cs="Times New Roman"/>
          <w:color w:val="000000"/>
        </w:rPr>
        <w:t xml:space="preserve">            </w:t>
      </w:r>
      <w:r>
        <w:rPr>
          <w:rFonts w:ascii="Times New Roman" w:cs="Times New Roman"/>
          <w:color w:val="000000"/>
        </w:rPr>
        <w:t>单位：万元</w:t>
      </w:r>
    </w:p>
    <w:p>
      <w:pPr>
        <w:snapToGrid w:val="0"/>
        <w:ind w:firstLine="1575" w:firstLineChars="750"/>
        <w:rPr>
          <w:rFonts w:ascii="Times New Roman" w:hAnsi="Times New Roman" w:cs="Times New Roman"/>
          <w:color w:val="000000"/>
        </w:rPr>
      </w:pPr>
    </w:p>
    <w:p>
      <w:pPr>
        <w:spacing w:line="600" w:lineRule="exact"/>
        <w:ind w:firstLine="600" w:firstLineChars="200"/>
        <w:rPr>
          <w:rFonts w:ascii="Times New Roman" w:hAnsi="Times New Roman" w:eastAsia="仿宋" w:cs="Times New Roman"/>
          <w:sz w:val="30"/>
          <w:szCs w:val="30"/>
        </w:rPr>
      </w:pPr>
      <w:r>
        <w:rPr>
          <w:rFonts w:ascii="Times New Roman" w:eastAsia="仿宋" w:cs="Times New Roman"/>
          <w:sz w:val="30"/>
          <w:szCs w:val="30"/>
        </w:rPr>
        <w:t>与上年对比，</w:t>
      </w:r>
      <w:r>
        <w:rPr>
          <w:rFonts w:ascii="Times New Roman" w:hAnsi="Times New Roman" w:eastAsia="仿宋" w:cs="Times New Roman"/>
          <w:sz w:val="30"/>
          <w:szCs w:val="30"/>
        </w:rPr>
        <w:t>2019</w:t>
      </w:r>
      <w:r>
        <w:rPr>
          <w:rFonts w:ascii="Times New Roman" w:eastAsia="仿宋" w:cs="Times New Roman"/>
          <w:sz w:val="30"/>
          <w:szCs w:val="30"/>
        </w:rPr>
        <w:t>年单位支出总额比上年减少</w:t>
      </w:r>
      <w:r>
        <w:rPr>
          <w:rFonts w:hint="eastAsia" w:ascii="Times New Roman" w:hAnsi="Times New Roman" w:eastAsia="仿宋" w:cs="Times New Roman"/>
          <w:sz w:val="30"/>
          <w:szCs w:val="30"/>
        </w:rPr>
        <w:t>920.18</w:t>
      </w:r>
      <w:r>
        <w:rPr>
          <w:rFonts w:ascii="Times New Roman" w:eastAsia="仿宋" w:cs="Times New Roman"/>
          <w:sz w:val="30"/>
          <w:szCs w:val="30"/>
        </w:rPr>
        <w:t>万元，减幅为</w:t>
      </w:r>
      <w:r>
        <w:rPr>
          <w:rFonts w:hint="eastAsia" w:ascii="Times New Roman" w:hAnsi="Times New Roman" w:eastAsia="仿宋" w:cs="Times New Roman"/>
          <w:sz w:val="30"/>
          <w:szCs w:val="30"/>
        </w:rPr>
        <w:t>22.62</w:t>
      </w:r>
      <w:r>
        <w:rPr>
          <w:rFonts w:ascii="Times New Roman" w:hAnsi="Times New Roman" w:eastAsia="仿宋" w:cs="Times New Roman"/>
          <w:sz w:val="30"/>
          <w:szCs w:val="30"/>
        </w:rPr>
        <w:t>%</w:t>
      </w:r>
      <w:r>
        <w:rPr>
          <w:rFonts w:ascii="Times New Roman" w:eastAsia="仿宋" w:cs="Times New Roman"/>
          <w:sz w:val="30"/>
          <w:szCs w:val="30"/>
        </w:rPr>
        <w:t>。其中：基本支出减少</w:t>
      </w:r>
      <w:r>
        <w:rPr>
          <w:rFonts w:ascii="Times New Roman" w:hAnsi="Times New Roman" w:eastAsia="仿宋" w:cs="Times New Roman"/>
          <w:sz w:val="30"/>
          <w:szCs w:val="30"/>
        </w:rPr>
        <w:t>493.93</w:t>
      </w:r>
      <w:r>
        <w:rPr>
          <w:rFonts w:ascii="Times New Roman" w:eastAsia="仿宋" w:cs="Times New Roman"/>
          <w:sz w:val="30"/>
          <w:szCs w:val="30"/>
        </w:rPr>
        <w:t>万元，项目支出减少</w:t>
      </w:r>
      <w:r>
        <w:rPr>
          <w:rFonts w:ascii="Times New Roman" w:hAnsi="Times New Roman" w:eastAsia="仿宋" w:cs="Times New Roman"/>
          <w:sz w:val="30"/>
          <w:szCs w:val="30"/>
        </w:rPr>
        <w:t>472.00</w:t>
      </w:r>
      <w:r>
        <w:rPr>
          <w:rFonts w:ascii="Times New Roman" w:eastAsia="仿宋" w:cs="Times New Roman"/>
          <w:sz w:val="30"/>
          <w:szCs w:val="30"/>
        </w:rPr>
        <w:t>万元，经营支出增加</w:t>
      </w:r>
      <w:r>
        <w:rPr>
          <w:rFonts w:ascii="Times New Roman" w:hAnsi="Times New Roman" w:eastAsia="仿宋" w:cs="Times New Roman"/>
          <w:sz w:val="30"/>
          <w:szCs w:val="30"/>
        </w:rPr>
        <w:t>45.75</w:t>
      </w:r>
      <w:r>
        <w:rPr>
          <w:rFonts w:ascii="Times New Roman" w:eastAsia="仿宋" w:cs="Times New Roman"/>
          <w:sz w:val="30"/>
          <w:szCs w:val="30"/>
        </w:rPr>
        <w:t>万元。详见下表：</w:t>
      </w:r>
    </w:p>
    <w:p>
      <w:pPr>
        <w:spacing w:line="600" w:lineRule="exact"/>
        <w:ind w:firstLine="600" w:firstLineChars="200"/>
        <w:rPr>
          <w:rFonts w:ascii="Times New Roman" w:hAnsi="Times New Roman" w:eastAsia="仿宋" w:cs="Times New Roman"/>
          <w:sz w:val="30"/>
          <w:szCs w:val="30"/>
        </w:rPr>
      </w:pPr>
    </w:p>
    <w:p>
      <w:pPr>
        <w:spacing w:line="600" w:lineRule="exact"/>
        <w:ind w:firstLine="600" w:firstLineChars="200"/>
        <w:rPr>
          <w:rFonts w:ascii="Times New Roman" w:hAnsi="Times New Roman" w:eastAsia="仿宋" w:cs="Times New Roman"/>
          <w:sz w:val="30"/>
          <w:szCs w:val="30"/>
        </w:rPr>
      </w:pPr>
    </w:p>
    <w:p>
      <w:pPr>
        <w:spacing w:line="600" w:lineRule="exact"/>
        <w:ind w:firstLine="600" w:firstLineChars="200"/>
        <w:rPr>
          <w:rFonts w:ascii="Times New Roman" w:hAnsi="Times New Roman" w:eastAsia="仿宋" w:cs="Times New Roman"/>
          <w:sz w:val="30"/>
          <w:szCs w:val="30"/>
        </w:rPr>
      </w:pPr>
    </w:p>
    <w:p>
      <w:pPr>
        <w:spacing w:line="600" w:lineRule="exact"/>
        <w:ind w:firstLine="600" w:firstLineChars="200"/>
        <w:rPr>
          <w:rFonts w:ascii="Times New Roman" w:hAnsi="Times New Roman" w:eastAsia="仿宋" w:cs="Times New Roman"/>
          <w:sz w:val="30"/>
          <w:szCs w:val="30"/>
        </w:rPr>
      </w:pPr>
    </w:p>
    <w:p>
      <w:pPr>
        <w:pStyle w:val="2"/>
        <w:rPr>
          <w:rFonts w:ascii="Times New Roman" w:hAnsi="Times New Roman"/>
          <w:color w:val="000000"/>
          <w:sz w:val="21"/>
          <w:szCs w:val="21"/>
        </w:rPr>
      </w:pPr>
    </w:p>
    <w:tbl>
      <w:tblPr>
        <w:tblStyle w:val="7"/>
        <w:tblW w:w="9440" w:type="dxa"/>
        <w:tblInd w:w="0" w:type="dxa"/>
        <w:tblLayout w:type="autofit"/>
        <w:tblCellMar>
          <w:top w:w="0" w:type="dxa"/>
          <w:left w:w="108" w:type="dxa"/>
          <w:bottom w:w="0" w:type="dxa"/>
          <w:right w:w="108" w:type="dxa"/>
        </w:tblCellMar>
      </w:tblPr>
      <w:tblGrid>
        <w:gridCol w:w="3280"/>
        <w:gridCol w:w="1540"/>
        <w:gridCol w:w="1540"/>
        <w:gridCol w:w="1540"/>
        <w:gridCol w:w="1540"/>
      </w:tblGrid>
      <w:tr>
        <w:tblPrEx>
          <w:tblCellMar>
            <w:top w:w="0" w:type="dxa"/>
            <w:left w:w="108" w:type="dxa"/>
            <w:bottom w:w="0" w:type="dxa"/>
            <w:right w:w="108" w:type="dxa"/>
          </w:tblCellMar>
        </w:tblPrEx>
        <w:trPr>
          <w:trHeight w:val="525" w:hRule="atLeast"/>
        </w:trPr>
        <w:tc>
          <w:tcPr>
            <w:tcW w:w="3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22"/>
                <w:szCs w:val="22"/>
              </w:rPr>
            </w:pPr>
            <w:r>
              <w:rPr>
                <w:rFonts w:hint="eastAsia" w:ascii="宋体" w:hAnsi="宋体" w:cs="Times New Roman"/>
                <w:color w:val="000000"/>
                <w:kern w:val="0"/>
                <w:sz w:val="22"/>
                <w:szCs w:val="22"/>
              </w:rPr>
              <w:t>项目</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2019年</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2018年</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22"/>
                <w:szCs w:val="22"/>
              </w:rPr>
            </w:pPr>
            <w:r>
              <w:rPr>
                <w:rFonts w:hint="eastAsia" w:ascii="宋体" w:hAnsi="宋体" w:cs="Times New Roman"/>
                <w:color w:val="000000"/>
                <w:kern w:val="0"/>
                <w:sz w:val="22"/>
                <w:szCs w:val="22"/>
              </w:rPr>
              <w:t>比上年增减</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22"/>
                <w:szCs w:val="22"/>
              </w:rPr>
            </w:pPr>
            <w:r>
              <w:rPr>
                <w:rFonts w:hint="eastAsia" w:ascii="宋体" w:hAnsi="宋体" w:cs="Times New Roman"/>
                <w:color w:val="000000"/>
                <w:kern w:val="0"/>
                <w:sz w:val="22"/>
                <w:szCs w:val="22"/>
              </w:rPr>
              <w:t>增减</w:t>
            </w:r>
            <w:r>
              <w:rPr>
                <w:rFonts w:ascii="Times New Roman" w:hAnsi="Times New Roman" w:cs="Times New Roman"/>
                <w:color w:val="000000"/>
                <w:kern w:val="0"/>
                <w:sz w:val="22"/>
                <w:szCs w:val="22"/>
              </w:rPr>
              <w:t>%</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b/>
                <w:bCs/>
                <w:color w:val="000000"/>
                <w:kern w:val="0"/>
                <w:sz w:val="22"/>
                <w:szCs w:val="22"/>
              </w:rPr>
            </w:pPr>
            <w:r>
              <w:rPr>
                <w:rFonts w:hint="eastAsia" w:ascii="宋体" w:hAnsi="宋体" w:cs="Times New Roman"/>
                <w:b/>
                <w:bCs/>
                <w:color w:val="000000"/>
                <w:kern w:val="0"/>
                <w:sz w:val="22"/>
                <w:szCs w:val="22"/>
              </w:rPr>
              <w:t>一、基本支出</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589.25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1,083.18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-493.93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-45.60%</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其中：人员经费</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542.84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1,034.16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-491.32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-47.51%</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日常公用经费</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46.41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49.02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-2.61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-5.32%</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b/>
                <w:bCs/>
                <w:color w:val="000000"/>
                <w:kern w:val="0"/>
                <w:sz w:val="22"/>
                <w:szCs w:val="22"/>
              </w:rPr>
            </w:pPr>
            <w:r>
              <w:rPr>
                <w:rFonts w:hint="eastAsia" w:ascii="宋体" w:hAnsi="宋体" w:cs="Times New Roman"/>
                <w:b/>
                <w:bCs/>
                <w:color w:val="000000"/>
                <w:kern w:val="0"/>
                <w:sz w:val="22"/>
                <w:szCs w:val="22"/>
              </w:rPr>
              <w:t>二、项目支出</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80.00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552.00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-472.00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-85.51%</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其中：科技转化与推广服务</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60.00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300.00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-240.00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-80.00%</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病虫害控制</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20.00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20.00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0.00%</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农业资源保护修复与利用</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117.00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-117.00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-100.00%</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       </w:t>
            </w:r>
            <w:r>
              <w:rPr>
                <w:rFonts w:hint="eastAsia" w:ascii="宋体" w:hAnsi="宋体" w:cs="Times New Roman"/>
                <w:color w:val="000000"/>
                <w:kern w:val="0"/>
                <w:sz w:val="22"/>
                <w:szCs w:val="22"/>
              </w:rPr>
              <w:t>其他农业支出</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0.00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115.00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-115.00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-100.00%</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b/>
                <w:bCs/>
                <w:color w:val="000000"/>
                <w:kern w:val="0"/>
                <w:sz w:val="22"/>
                <w:szCs w:val="22"/>
              </w:rPr>
            </w:pPr>
            <w:r>
              <w:rPr>
                <w:rFonts w:hint="eastAsia" w:ascii="宋体" w:hAnsi="宋体" w:cs="Times New Roman"/>
                <w:b/>
                <w:bCs/>
                <w:color w:val="000000"/>
                <w:kern w:val="0"/>
                <w:sz w:val="22"/>
                <w:szCs w:val="22"/>
              </w:rPr>
              <w:t>三、经营支出</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2,478.30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2,432.55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45.75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1.88%</w:t>
            </w:r>
          </w:p>
        </w:tc>
      </w:tr>
      <w:tr>
        <w:tblPrEx>
          <w:tblCellMar>
            <w:top w:w="0" w:type="dxa"/>
            <w:left w:w="108" w:type="dxa"/>
            <w:bottom w:w="0" w:type="dxa"/>
            <w:right w:w="108" w:type="dxa"/>
          </w:tblCellMar>
        </w:tblPrEx>
        <w:trPr>
          <w:trHeight w:val="375" w:hRule="atLeast"/>
        </w:trPr>
        <w:tc>
          <w:tcPr>
            <w:tcW w:w="32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22"/>
                <w:szCs w:val="22"/>
              </w:rPr>
            </w:pPr>
            <w:r>
              <w:rPr>
                <w:rFonts w:hint="eastAsia" w:ascii="宋体" w:hAnsi="宋体" w:cs="Times New Roman"/>
                <w:color w:val="000000"/>
                <w:kern w:val="0"/>
                <w:sz w:val="22"/>
                <w:szCs w:val="22"/>
              </w:rPr>
              <w:t>合计</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3,147.55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4,067.73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-920.18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-22.62%</w:t>
            </w:r>
          </w:p>
        </w:tc>
      </w:tr>
    </w:tbl>
    <w:p>
      <w:pPr>
        <w:pStyle w:val="2"/>
        <w:ind w:firstLine="840" w:firstLineChars="400"/>
        <w:rPr>
          <w:rFonts w:ascii="Times New Roman"/>
          <w:color w:val="000000"/>
          <w:sz w:val="21"/>
          <w:szCs w:val="21"/>
        </w:rPr>
      </w:pPr>
    </w:p>
    <w:p>
      <w:pPr>
        <w:pStyle w:val="2"/>
        <w:ind w:firstLine="840" w:firstLineChars="400"/>
        <w:rPr>
          <w:rFonts w:ascii="Times New Roman" w:hAnsi="Times New Roman"/>
          <w:color w:val="000000"/>
          <w:sz w:val="21"/>
          <w:szCs w:val="21"/>
        </w:rPr>
      </w:pPr>
      <w:r>
        <w:rPr>
          <w:rFonts w:ascii="Times New Roman"/>
          <w:color w:val="000000"/>
          <w:sz w:val="21"/>
          <w:szCs w:val="21"/>
        </w:rPr>
        <w:t>图表</w:t>
      </w:r>
      <w:r>
        <w:rPr>
          <w:rFonts w:ascii="Times New Roman" w:hAnsi="Times New Roman"/>
          <w:color w:val="000000"/>
          <w:sz w:val="21"/>
          <w:szCs w:val="21"/>
        </w:rPr>
        <w:t xml:space="preserve"> 4    2019</w:t>
      </w:r>
      <w:r>
        <w:rPr>
          <w:rFonts w:ascii="Times New Roman"/>
          <w:color w:val="000000"/>
          <w:sz w:val="21"/>
          <w:szCs w:val="21"/>
        </w:rPr>
        <w:t>年度单位支出与上年支出增减情况对比分析表</w:t>
      </w:r>
      <w:r>
        <w:rPr>
          <w:rFonts w:ascii="Times New Roman" w:hAnsi="Times New Roman"/>
          <w:color w:val="000000"/>
          <w:sz w:val="21"/>
          <w:szCs w:val="21"/>
        </w:rPr>
        <w:t xml:space="preserve">       </w:t>
      </w:r>
      <w:r>
        <w:rPr>
          <w:rFonts w:ascii="Times New Roman"/>
          <w:color w:val="000000"/>
          <w:sz w:val="21"/>
          <w:szCs w:val="21"/>
        </w:rPr>
        <w:t>单位：万元</w:t>
      </w:r>
    </w:p>
    <w:p>
      <w:pPr>
        <w:rPr>
          <w:rFonts w:ascii="Times New Roman" w:hAnsi="Times New Roman" w:cs="Times New Roman"/>
        </w:rPr>
      </w:pPr>
    </w:p>
    <w:p>
      <w:pPr>
        <w:pStyle w:val="15"/>
        <w:numPr>
          <w:ilvl w:val="0"/>
          <w:numId w:val="1"/>
        </w:numPr>
        <w:autoSpaceDE w:val="0"/>
        <w:autoSpaceDN w:val="0"/>
        <w:adjustRightInd w:val="0"/>
        <w:spacing w:line="590" w:lineRule="exact"/>
        <w:ind w:firstLineChars="0"/>
        <w:jc w:val="left"/>
        <w:rPr>
          <w:rFonts w:ascii="Times New Roman" w:hAnsi="Times New Roman" w:eastAsia="楷体" w:cs="Times New Roman"/>
          <w:sz w:val="30"/>
          <w:szCs w:val="30"/>
        </w:rPr>
      </w:pPr>
      <w:r>
        <w:rPr>
          <w:rFonts w:ascii="Times New Roman" w:hAnsi="Times New Roman" w:eastAsia="楷体" w:cs="Times New Roman"/>
          <w:sz w:val="30"/>
          <w:szCs w:val="30"/>
        </w:rPr>
        <w:t>基本支出情况</w:t>
      </w:r>
    </w:p>
    <w:p>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2019年度用于保障云南省种畜繁育推广中心机关、下属事业单位等机构正常运转的日常支出589.25万元。其中，用于人员工资福利支出507.37万元，占基本支出的86.11%；缴纳职工工会经费22.00万元，占基本支出的3.73%；离退休人员慰问支出24.41万元，占基本支出的4.14%；离休费支出35.47万元，占基本支出的6.02%。2018年度用于保障云南省种畜繁育推广中心机关、下属事业单位等机构正常运转的日常支出1,083.18万元。由于财政调整人员经费供给方式，减少人员经费，与上年相比基本支出减少493.93万元，减幅为45.60%。</w:t>
      </w:r>
    </w:p>
    <w:p>
      <w:pPr>
        <w:autoSpaceDE w:val="0"/>
        <w:autoSpaceDN w:val="0"/>
        <w:adjustRightInd w:val="0"/>
        <w:ind w:firstLine="600" w:firstLineChars="200"/>
        <w:jc w:val="left"/>
        <w:rPr>
          <w:rFonts w:ascii="Times New Roman" w:hAnsi="Times New Roman" w:eastAsia="仿宋" w:cs="Times New Roman"/>
          <w:color w:val="FF0000"/>
          <w:sz w:val="30"/>
          <w:szCs w:val="30"/>
        </w:rPr>
      </w:pPr>
      <w:r>
        <w:rPr>
          <w:rFonts w:ascii="Times New Roman" w:hAnsi="Times New Roman" w:eastAsia="仿宋" w:cs="Times New Roman"/>
          <w:color w:val="FF0000"/>
          <w:sz w:val="30"/>
          <w:szCs w:val="30"/>
        </w:rPr>
        <w:drawing>
          <wp:inline distT="0" distB="0" distL="0" distR="0">
            <wp:extent cx="4572635" cy="2746375"/>
            <wp:effectExtent l="12187" t="6093" r="6093" b="0"/>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ind w:firstLine="840" w:firstLineChars="400"/>
        <w:rPr>
          <w:rFonts w:ascii="Times New Roman" w:hAnsi="Times New Roman"/>
          <w:color w:val="000000"/>
          <w:sz w:val="21"/>
          <w:szCs w:val="21"/>
        </w:rPr>
      </w:pPr>
    </w:p>
    <w:p>
      <w:pPr>
        <w:pStyle w:val="2"/>
        <w:ind w:firstLine="840" w:firstLineChars="400"/>
        <w:rPr>
          <w:rFonts w:ascii="Times New Roman" w:hAnsi="Times New Roman"/>
          <w:color w:val="000000"/>
          <w:sz w:val="21"/>
          <w:szCs w:val="21"/>
        </w:rPr>
      </w:pPr>
      <w:r>
        <w:rPr>
          <w:rFonts w:ascii="Times New Roman"/>
          <w:color w:val="000000"/>
          <w:sz w:val="21"/>
          <w:szCs w:val="21"/>
        </w:rPr>
        <w:t>图表</w:t>
      </w:r>
      <w:r>
        <w:rPr>
          <w:rFonts w:ascii="Times New Roman" w:hAnsi="Times New Roman"/>
          <w:color w:val="000000"/>
          <w:sz w:val="21"/>
          <w:szCs w:val="21"/>
        </w:rPr>
        <w:t xml:space="preserve"> 5    2019</w:t>
      </w:r>
      <w:r>
        <w:rPr>
          <w:rFonts w:ascii="Times New Roman"/>
          <w:color w:val="000000"/>
          <w:sz w:val="21"/>
          <w:szCs w:val="21"/>
        </w:rPr>
        <w:t>年度基本支出与上年支出增减情况对比分析表</w:t>
      </w:r>
      <w:r>
        <w:rPr>
          <w:rFonts w:ascii="Times New Roman" w:hAnsi="Times New Roman"/>
          <w:color w:val="000000"/>
          <w:sz w:val="21"/>
          <w:szCs w:val="21"/>
        </w:rPr>
        <w:t xml:space="preserve">       </w:t>
      </w:r>
      <w:r>
        <w:rPr>
          <w:rFonts w:ascii="Times New Roman"/>
          <w:color w:val="000000"/>
          <w:sz w:val="21"/>
          <w:szCs w:val="21"/>
        </w:rPr>
        <w:t>单位：万元</w:t>
      </w:r>
    </w:p>
    <w:p>
      <w:pPr>
        <w:autoSpaceDE w:val="0"/>
        <w:autoSpaceDN w:val="0"/>
        <w:adjustRightInd w:val="0"/>
        <w:spacing w:line="590" w:lineRule="exact"/>
        <w:ind w:firstLine="600" w:firstLineChars="200"/>
        <w:jc w:val="left"/>
        <w:rPr>
          <w:rFonts w:ascii="Times New Roman" w:hAnsi="Times New Roman" w:eastAsia="楷体" w:cs="Times New Roman"/>
          <w:sz w:val="30"/>
          <w:szCs w:val="30"/>
        </w:rPr>
      </w:pPr>
      <w:r>
        <w:rPr>
          <w:rFonts w:ascii="Times New Roman" w:hAnsi="Times New Roman" w:eastAsia="楷体" w:cs="Times New Roman"/>
          <w:sz w:val="30"/>
          <w:szCs w:val="30"/>
        </w:rPr>
        <w:t>（二）项目支出情况</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drawing>
          <wp:anchor distT="0" distB="0" distL="114300" distR="114300" simplePos="0" relativeHeight="251660288" behindDoc="0" locked="0" layoutInCell="1" allowOverlap="1">
            <wp:simplePos x="0" y="0"/>
            <wp:positionH relativeFrom="column">
              <wp:posOffset>385445</wp:posOffset>
            </wp:positionH>
            <wp:positionV relativeFrom="paragraph">
              <wp:posOffset>1637665</wp:posOffset>
            </wp:positionV>
            <wp:extent cx="4478020" cy="2717165"/>
            <wp:effectExtent l="19050" t="0" r="0" b="0"/>
            <wp:wrapTopAndBottom/>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noChangeArrowheads="1"/>
                    </pic:cNvPicPr>
                  </pic:nvPicPr>
                  <pic:blipFill>
                    <a:blip r:embed="rId9" cstate="print"/>
                    <a:srcRect/>
                    <a:stretch>
                      <a:fillRect/>
                    </a:stretch>
                  </pic:blipFill>
                  <pic:spPr>
                    <a:xfrm>
                      <a:off x="0" y="0"/>
                      <a:ext cx="4478020" cy="2717165"/>
                    </a:xfrm>
                    <a:prstGeom prst="rect">
                      <a:avLst/>
                    </a:prstGeom>
                    <a:noFill/>
                  </pic:spPr>
                </pic:pic>
              </a:graphicData>
            </a:graphic>
          </wp:anchor>
        </w:drawing>
      </w:r>
      <w:r>
        <w:rPr>
          <w:rFonts w:ascii="Times New Roman" w:hAnsi="Times New Roman" w:eastAsia="仿宋" w:cs="Times New Roman"/>
          <w:sz w:val="30"/>
          <w:szCs w:val="30"/>
        </w:rPr>
        <w:t>2019年度用于保障云南省种畜繁育推广中心机构、下属事业单位等机构为完成特定的行政工作任务或事业发展目标，用于专项业务工作的经费支出80.00万元，2018用于专项业务工作的经费支出552.00万元。</w:t>
      </w:r>
    </w:p>
    <w:p>
      <w:pPr>
        <w:pStyle w:val="2"/>
        <w:rPr>
          <w:rFonts w:ascii="Times New Roman" w:hAnsi="Times New Roman"/>
          <w:color w:val="000000"/>
          <w:sz w:val="21"/>
          <w:szCs w:val="21"/>
        </w:rPr>
      </w:pPr>
      <w:r>
        <w:rPr>
          <w:rFonts w:hint="eastAsia" w:ascii="Times New Roman" w:hAnsi="Times New Roman"/>
          <w:color w:val="000000"/>
          <w:sz w:val="21"/>
          <w:szCs w:val="21"/>
        </w:rPr>
        <w:t xml:space="preserve">                </w:t>
      </w:r>
      <w:r>
        <w:rPr>
          <w:rFonts w:ascii="Times New Roman"/>
          <w:color w:val="000000"/>
          <w:sz w:val="21"/>
          <w:szCs w:val="21"/>
        </w:rPr>
        <w:t>图表</w:t>
      </w:r>
      <w:r>
        <w:rPr>
          <w:rFonts w:ascii="Times New Roman" w:hAnsi="Times New Roman"/>
          <w:color w:val="000000"/>
          <w:sz w:val="21"/>
          <w:szCs w:val="21"/>
        </w:rPr>
        <w:t>6    2019</w:t>
      </w:r>
      <w:r>
        <w:rPr>
          <w:rFonts w:ascii="Times New Roman"/>
          <w:color w:val="000000"/>
          <w:sz w:val="21"/>
          <w:szCs w:val="21"/>
        </w:rPr>
        <w:t>年度项目支出与上年支出增减情况对比分析表</w:t>
      </w:r>
      <w:r>
        <w:rPr>
          <w:rFonts w:ascii="Times New Roman" w:hAnsi="Times New Roman"/>
          <w:color w:val="000000"/>
          <w:sz w:val="21"/>
          <w:szCs w:val="21"/>
        </w:rPr>
        <w:t xml:space="preserve">       </w:t>
      </w:r>
      <w:r>
        <w:rPr>
          <w:rFonts w:ascii="Times New Roman"/>
          <w:color w:val="000000"/>
          <w:sz w:val="21"/>
          <w:szCs w:val="21"/>
        </w:rPr>
        <w:t>单位：万</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2019</w:t>
      </w:r>
      <w:r>
        <w:rPr>
          <w:rFonts w:ascii="Times New Roman" w:eastAsia="仿宋" w:cs="Times New Roman"/>
          <w:sz w:val="32"/>
          <w:szCs w:val="32"/>
        </w:rPr>
        <w:t>年度财政拨款项目资金比上年减少</w:t>
      </w:r>
      <w:r>
        <w:rPr>
          <w:rFonts w:ascii="Times New Roman" w:hAnsi="Times New Roman" w:eastAsia="仿宋" w:cs="Times New Roman"/>
          <w:sz w:val="32"/>
          <w:szCs w:val="32"/>
        </w:rPr>
        <w:t>472</w:t>
      </w:r>
      <w:r>
        <w:rPr>
          <w:rFonts w:ascii="Times New Roman" w:eastAsia="仿宋" w:cs="Times New Roman"/>
          <w:sz w:val="32"/>
          <w:szCs w:val="32"/>
        </w:rPr>
        <w:t>万元。减幅为</w:t>
      </w:r>
      <w:r>
        <w:rPr>
          <w:rFonts w:ascii="Times New Roman" w:hAnsi="Times New Roman" w:eastAsia="仿宋" w:cs="Times New Roman"/>
          <w:sz w:val="32"/>
          <w:szCs w:val="32"/>
        </w:rPr>
        <w:t>85.51%</w:t>
      </w:r>
      <w:r>
        <w:rPr>
          <w:rFonts w:ascii="Times New Roman" w:eastAsia="仿宋" w:cs="Times New Roman"/>
          <w:sz w:val="32"/>
          <w:szCs w:val="32"/>
        </w:rPr>
        <w:t>，</w:t>
      </w:r>
      <w:r>
        <w:rPr>
          <w:rFonts w:ascii="Times New Roman" w:hAnsi="Times New Roman" w:eastAsia="仿宋" w:cs="Times New Roman"/>
          <w:sz w:val="32"/>
          <w:szCs w:val="32"/>
        </w:rPr>
        <w:t xml:space="preserve"> </w:t>
      </w:r>
      <w:r>
        <w:rPr>
          <w:rFonts w:ascii="Times New Roman" w:eastAsia="仿宋" w:cs="Times New Roman"/>
          <w:sz w:val="32"/>
          <w:szCs w:val="32"/>
        </w:rPr>
        <w:t>其中：科技转化与推广服务</w:t>
      </w:r>
      <w:r>
        <w:rPr>
          <w:rFonts w:ascii="Times New Roman" w:hAnsi="Times New Roman" w:eastAsia="仿宋" w:cs="Times New Roman"/>
          <w:sz w:val="32"/>
          <w:szCs w:val="32"/>
        </w:rPr>
        <w:t>—</w:t>
      </w:r>
      <w:r>
        <w:rPr>
          <w:rFonts w:ascii="Times New Roman" w:eastAsia="仿宋" w:cs="Times New Roman"/>
          <w:sz w:val="32"/>
          <w:szCs w:val="32"/>
        </w:rPr>
        <w:t>种畜生产发展专项补助资金减少</w:t>
      </w:r>
      <w:r>
        <w:rPr>
          <w:rFonts w:ascii="Times New Roman" w:hAnsi="Times New Roman" w:eastAsia="仿宋" w:cs="Times New Roman"/>
          <w:sz w:val="32"/>
          <w:szCs w:val="32"/>
        </w:rPr>
        <w:t>240</w:t>
      </w:r>
      <w:r>
        <w:rPr>
          <w:rFonts w:ascii="Times New Roman" w:eastAsia="仿宋" w:cs="Times New Roman"/>
          <w:sz w:val="32"/>
          <w:szCs w:val="32"/>
        </w:rPr>
        <w:t>万元，农业资源保护修复与利用</w:t>
      </w:r>
      <w:r>
        <w:rPr>
          <w:rFonts w:ascii="Times New Roman" w:hAnsi="Times New Roman" w:eastAsia="仿宋" w:cs="Times New Roman"/>
          <w:sz w:val="32"/>
          <w:szCs w:val="32"/>
        </w:rPr>
        <w:t>—</w:t>
      </w:r>
      <w:r>
        <w:rPr>
          <w:rFonts w:ascii="Times New Roman" w:eastAsia="仿宋" w:cs="Times New Roman"/>
          <w:sz w:val="32"/>
          <w:szCs w:val="32"/>
        </w:rPr>
        <w:t>农业资源及生态保护补助、其他农业支出</w:t>
      </w:r>
      <w:r>
        <w:rPr>
          <w:rFonts w:ascii="Times New Roman" w:hAnsi="Times New Roman" w:eastAsia="仿宋" w:cs="Times New Roman"/>
          <w:sz w:val="32"/>
          <w:szCs w:val="32"/>
        </w:rPr>
        <w:t>—</w:t>
      </w:r>
      <w:r>
        <w:rPr>
          <w:rFonts w:ascii="Times New Roman" w:eastAsia="仿宋" w:cs="Times New Roman"/>
          <w:sz w:val="32"/>
          <w:szCs w:val="32"/>
        </w:rPr>
        <w:t>国有农场税费改革本年无财政拨款收入。</w:t>
      </w:r>
      <w:r>
        <w:rPr>
          <w:rFonts w:ascii="Times New Roman" w:hAnsi="Times New Roman" w:eastAsia="仿宋" w:cs="Times New Roman"/>
          <w:sz w:val="32"/>
          <w:szCs w:val="32"/>
        </w:rPr>
        <w:t>2019</w:t>
      </w:r>
      <w:r>
        <w:rPr>
          <w:rFonts w:ascii="Times New Roman" w:eastAsia="仿宋" w:cs="Times New Roman"/>
          <w:sz w:val="32"/>
          <w:szCs w:val="32"/>
        </w:rPr>
        <w:t>年度项目支出资金主要用于购买饲草饲料</w:t>
      </w:r>
      <w:r>
        <w:rPr>
          <w:rFonts w:ascii="Times New Roman" w:hAnsi="Times New Roman" w:eastAsia="仿宋" w:cs="Times New Roman"/>
          <w:sz w:val="32"/>
          <w:szCs w:val="32"/>
        </w:rPr>
        <w:t>60.00</w:t>
      </w:r>
      <w:r>
        <w:rPr>
          <w:rFonts w:ascii="Times New Roman" w:eastAsia="仿宋" w:cs="Times New Roman"/>
          <w:sz w:val="32"/>
          <w:szCs w:val="32"/>
        </w:rPr>
        <w:t>万元，占项目支出的</w:t>
      </w:r>
      <w:r>
        <w:rPr>
          <w:rFonts w:ascii="Times New Roman" w:hAnsi="Times New Roman" w:eastAsia="仿宋" w:cs="Times New Roman"/>
          <w:sz w:val="32"/>
          <w:szCs w:val="32"/>
        </w:rPr>
        <w:t>75%</w:t>
      </w:r>
      <w:r>
        <w:rPr>
          <w:rFonts w:ascii="Times New Roman" w:eastAsia="仿宋" w:cs="Times New Roman"/>
          <w:sz w:val="32"/>
          <w:szCs w:val="32"/>
        </w:rPr>
        <w:t>，</w:t>
      </w:r>
      <w:r>
        <w:rPr>
          <w:rFonts w:ascii="Times New Roman" w:hAnsi="Times New Roman" w:eastAsia="仿宋" w:cs="Times New Roman"/>
          <w:sz w:val="32"/>
          <w:szCs w:val="32"/>
        </w:rPr>
        <w:t>20.00</w:t>
      </w:r>
      <w:r>
        <w:rPr>
          <w:rFonts w:ascii="Times New Roman" w:eastAsia="仿宋" w:cs="Times New Roman"/>
          <w:sz w:val="32"/>
          <w:szCs w:val="32"/>
        </w:rPr>
        <w:t>万元用于购买防疫服及兽药，占项目支出的</w:t>
      </w:r>
      <w:r>
        <w:rPr>
          <w:rFonts w:ascii="Times New Roman" w:hAnsi="Times New Roman" w:eastAsia="仿宋" w:cs="Times New Roman"/>
          <w:sz w:val="32"/>
          <w:szCs w:val="32"/>
        </w:rPr>
        <w:t>25%</w:t>
      </w:r>
      <w:r>
        <w:rPr>
          <w:rFonts w:ascii="Times New Roman" w:eastAsia="仿宋" w:cs="Times New Roman"/>
          <w:sz w:val="32"/>
          <w:szCs w:val="32"/>
        </w:rPr>
        <w:t>。</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三、一般公共预算财政拨款支出决算情况说明</w:t>
      </w:r>
    </w:p>
    <w:p>
      <w:pPr>
        <w:autoSpaceDE w:val="0"/>
        <w:autoSpaceDN w:val="0"/>
        <w:adjustRightInd w:val="0"/>
        <w:spacing w:line="590" w:lineRule="exact"/>
        <w:ind w:firstLine="600" w:firstLineChars="200"/>
        <w:jc w:val="left"/>
        <w:rPr>
          <w:rFonts w:ascii="Times New Roman" w:hAnsi="Times New Roman" w:eastAsia="楷体" w:cs="Times New Roman"/>
          <w:sz w:val="30"/>
          <w:szCs w:val="30"/>
        </w:rPr>
      </w:pPr>
      <w:r>
        <w:rPr>
          <w:rFonts w:ascii="Times New Roman" w:hAnsi="Times New Roman" w:eastAsia="楷体" w:cs="Times New Roman"/>
          <w:sz w:val="30"/>
          <w:szCs w:val="30"/>
        </w:rPr>
        <w:t>（一）一般公共预算财政拨款支出决算总体情况</w:t>
      </w:r>
    </w:p>
    <w:p>
      <w:pPr>
        <w:autoSpaceDE w:val="0"/>
        <w:autoSpaceDN w:val="0"/>
        <w:adjustRightInd w:val="0"/>
        <w:spacing w:line="59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云南省种畜繁育推广中心2019年度一般公共预算财政拨款支出669.25万元,占本年支出合计的21.26%。2018年度一般公共预算财政拨款支出1635.18万元,占本年支出合计的28.67%</w:t>
      </w:r>
    </w:p>
    <w:p>
      <w:pPr>
        <w:autoSpaceDE w:val="0"/>
        <w:autoSpaceDN w:val="0"/>
        <w:adjustRightInd w:val="0"/>
        <w:spacing w:line="590" w:lineRule="exact"/>
        <w:ind w:firstLine="600" w:firstLineChars="200"/>
        <w:jc w:val="left"/>
        <w:rPr>
          <w:rFonts w:ascii="Times New Roman" w:hAnsi="Times New Roman" w:eastAsia="楷体" w:cs="Times New Roman"/>
          <w:kern w:val="0"/>
          <w:sz w:val="30"/>
          <w:szCs w:val="30"/>
        </w:rPr>
      </w:pPr>
      <w:r>
        <w:rPr>
          <w:rFonts w:ascii="Times New Roman" w:hAnsi="Times New Roman" w:eastAsia="楷体" w:cs="Times New Roman"/>
          <w:sz w:val="30"/>
          <w:szCs w:val="30"/>
        </w:rPr>
        <w:t>（二）一般公共预算财政拨款支出决算具体情况</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1.一般公共服务（类）支出0.00万元，占一般公共预算财政拨款总支出的0.00%。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2.外交（类）支出0.00万元，占一般公共预算财政拨款总支出的0.00%。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3.国防（类）支出0.00万元，占一般公共预算财政拨款总支出的0.00%。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4.公共安全（类）支出0.00万元，占一般公共预算财政拨款总支出的0.00%。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5.教育（类）支出0.00万元，占一般公共预算财政拨款总支出的0.00%。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6.科学技术（类）支出0.00万元，占一般公共预算财政拨款总支出的0.00%。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7.文化旅游体育与传媒（类）支出0.00万元，占一般公共预算财政拨款总支出的0.00%。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8.社会保障和就业（类）支出59.88万元，占一般公共预算财政拨款总支出的8.95%。</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hint="eastAsia" w:ascii="Times New Roman" w:hAnsi="Times New Roman" w:eastAsia="仿宋" w:cs="Times New Roman"/>
          <w:kern w:val="0"/>
          <w:sz w:val="30"/>
          <w:szCs w:val="30"/>
        </w:rPr>
        <w:t>其中：</w:t>
      </w:r>
      <w:r>
        <w:rPr>
          <w:rFonts w:ascii="Times New Roman" w:hAnsi="Times New Roman" w:eastAsia="仿宋" w:cs="Times New Roman"/>
          <w:kern w:val="0"/>
          <w:sz w:val="30"/>
          <w:szCs w:val="30"/>
        </w:rPr>
        <w:t>2080502 —事业单位离退休49.02万元；2080599—其他行政事业单位离退休支出10.87万元。</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9.卫生健康（类）支出0.00万元，占一般公共预算财政拨款总支出的0.00%。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10.节能环保（类）支出0.00万元，占一般公共预算财政拨款总支出的0.00%。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11.城乡社区（类）支出0.00万元，占一般公共预算财政拨款总支出的0.00%。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12.农林水（类）支出609.37万元，占一般公共预算财政拨款总支出的91.05%。</w:t>
      </w:r>
    </w:p>
    <w:p>
      <w:pPr>
        <w:widowControl/>
        <w:snapToGrid w:val="0"/>
        <w:spacing w:before="100" w:after="100" w:line="360" w:lineRule="auto"/>
        <w:ind w:firstLine="600" w:firstLineChars="200"/>
        <w:jc w:val="left"/>
        <w:rPr>
          <w:rFonts w:ascii="Times New Roman" w:hAnsi="Times New Roman" w:eastAsia="仿宋" w:cs="Times New Roman"/>
          <w:kern w:val="0"/>
          <w:sz w:val="30"/>
          <w:szCs w:val="30"/>
        </w:rPr>
      </w:pPr>
      <w:r>
        <w:rPr>
          <w:rFonts w:hint="eastAsia" w:ascii="Times New Roman" w:hAnsi="Times New Roman" w:eastAsia="仿宋" w:cs="Times New Roman"/>
          <w:kern w:val="0"/>
          <w:sz w:val="30"/>
          <w:szCs w:val="30"/>
        </w:rPr>
        <w:t>其中：</w:t>
      </w:r>
      <w:r>
        <w:rPr>
          <w:rFonts w:ascii="Times New Roman" w:hAnsi="Times New Roman" w:eastAsia="仿宋" w:cs="Times New Roman"/>
          <w:kern w:val="0"/>
          <w:sz w:val="30"/>
          <w:szCs w:val="30"/>
        </w:rPr>
        <w:t>2130104—事业运行529.37万元。用于发放职工工资507.37万元，缴纳公会经费22.00万元。</w:t>
      </w:r>
    </w:p>
    <w:p>
      <w:pPr>
        <w:widowControl/>
        <w:snapToGrid w:val="0"/>
        <w:spacing w:before="100" w:after="100" w:line="360" w:lineRule="auto"/>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2130106—科技转化与推广服务，用于种畜生产发展专项补助资金60万元，2130108—病虫害控制，用于西门塔尔牛疫病防控净化项目资金20万元</w:t>
      </w:r>
      <w:r>
        <w:rPr>
          <w:rFonts w:hint="eastAsia" w:ascii="Times New Roman" w:hAnsi="Times New Roman" w:eastAsia="仿宋" w:cs="Times New Roman"/>
          <w:kern w:val="0"/>
          <w:sz w:val="30"/>
          <w:szCs w:val="30"/>
        </w:rPr>
        <w:t>。</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13.交通运输（类）支出0.00万元，占一般公共预算财政拨款总支出的0.00%。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14.资源勘探信息等（类）支出0.00万元，占一般公共预算财政拨款总支出的0.00%。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15.商业服务业等（类）支出0.00万元，占一般公共预算财政拨款总支出的0.00%。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16.金融（类）支出0.00万元，占一般公共预算财政拨款总支出的0.00%。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17.援助其他地区（类）支出0.00万元，占一般公共预算财政拨款总支出的0.00%。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18.自然资源海洋气象等（类）支出0.00万元，占一般公共预算财政拨款总支出的0.00%。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19.住房保障（类）支出0.00万元，占一般公共预算财政拨款总支出的0.00%。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20.粮油物资储备（类）支出0.00万元，占一般公共预算财政拨款总支出的0.00%。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21.灾害防治及应急管理（类）支出0.00万元，占一般公共预算财政拨款总支出的0.00%。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22.其他（类）支出0.00万元，占一般公共预算财政拨款总支出的0.00%。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color w:val="FF0000"/>
          <w:kern w:val="0"/>
          <w:sz w:val="30"/>
          <w:szCs w:val="30"/>
        </w:rPr>
      </w:pPr>
      <w:r>
        <w:rPr>
          <w:rFonts w:ascii="Times New Roman" w:hAnsi="Times New Roman" w:eastAsia="仿宋" w:cs="Times New Roman"/>
          <w:kern w:val="0"/>
          <w:sz w:val="30"/>
          <w:szCs w:val="30"/>
        </w:rPr>
        <w:t>23.债务还本（类）支出0.00万元，占一般公共预算财政拨款总支出的0.00%。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24.债务付息（类）支出0.00万元，占一般公共预算财政拨款总支出的0.00%。</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四、一般公共预算财政拨款“三公”经费支出决算情况说明</w:t>
      </w:r>
    </w:p>
    <w:p>
      <w:pPr>
        <w:autoSpaceDE w:val="0"/>
        <w:autoSpaceDN w:val="0"/>
        <w:adjustRightInd w:val="0"/>
        <w:spacing w:line="590" w:lineRule="exact"/>
        <w:ind w:firstLine="600" w:firstLineChars="200"/>
        <w:jc w:val="left"/>
        <w:rPr>
          <w:rFonts w:ascii="Times New Roman" w:hAnsi="Times New Roman" w:eastAsia="楷体" w:cs="Times New Roman"/>
          <w:sz w:val="30"/>
          <w:szCs w:val="30"/>
        </w:rPr>
      </w:pPr>
      <w:r>
        <w:rPr>
          <w:rFonts w:ascii="Times New Roman" w:hAnsi="Times New Roman" w:eastAsia="楷体" w:cs="Times New Roman"/>
          <w:sz w:val="30"/>
          <w:szCs w:val="30"/>
        </w:rPr>
        <w:t>(一)一般公共预算财政拨款“三公”经费支出决算总体情况</w:t>
      </w:r>
    </w:p>
    <w:p>
      <w:pPr>
        <w:spacing w:line="600" w:lineRule="exact"/>
        <w:ind w:firstLine="640" w:firstLineChars="200"/>
        <w:rPr>
          <w:rFonts w:ascii="Times New Roman" w:hAnsi="Times New Roman" w:eastAsia="仿宋" w:cs="Times New Roman"/>
          <w:sz w:val="32"/>
          <w:szCs w:val="32"/>
        </w:rPr>
      </w:pPr>
      <w:r>
        <w:rPr>
          <w:rFonts w:ascii="Times New Roman" w:eastAsia="仿宋" w:cs="Times New Roman"/>
          <w:sz w:val="32"/>
          <w:szCs w:val="32"/>
        </w:rPr>
        <w:t>我单位</w:t>
      </w:r>
      <w:r>
        <w:rPr>
          <w:rFonts w:ascii="Times New Roman" w:hAnsi="Times New Roman" w:eastAsia="仿宋" w:cs="Times New Roman"/>
          <w:sz w:val="32"/>
          <w:szCs w:val="32"/>
        </w:rPr>
        <w:t xml:space="preserve"> “</w:t>
      </w:r>
      <w:r>
        <w:rPr>
          <w:rFonts w:ascii="Times New Roman" w:eastAsia="仿宋" w:cs="Times New Roman"/>
          <w:sz w:val="32"/>
          <w:szCs w:val="32"/>
        </w:rPr>
        <w:t>三公经费</w:t>
      </w:r>
      <w:r>
        <w:rPr>
          <w:rFonts w:ascii="Times New Roman" w:hAnsi="Times New Roman" w:eastAsia="仿宋" w:cs="Times New Roman"/>
          <w:sz w:val="32"/>
          <w:szCs w:val="32"/>
        </w:rPr>
        <w:t>”</w:t>
      </w:r>
      <w:r>
        <w:rPr>
          <w:rFonts w:ascii="Times New Roman" w:eastAsia="仿宋" w:cs="Times New Roman"/>
          <w:sz w:val="32"/>
          <w:szCs w:val="32"/>
        </w:rPr>
        <w:t>由单位自筹资金解决，反映在</w:t>
      </w:r>
      <w:r>
        <w:rPr>
          <w:rFonts w:ascii="Times New Roman" w:hAnsi="Times New Roman" w:eastAsia="仿宋" w:cs="Times New Roman"/>
          <w:sz w:val="32"/>
          <w:szCs w:val="32"/>
        </w:rPr>
        <w:t>“</w:t>
      </w:r>
      <w:r>
        <w:rPr>
          <w:rFonts w:ascii="Times New Roman" w:eastAsia="仿宋" w:cs="Times New Roman"/>
          <w:sz w:val="32"/>
          <w:szCs w:val="32"/>
        </w:rPr>
        <w:t>经营支</w:t>
      </w:r>
      <w:r>
        <w:rPr>
          <w:rFonts w:ascii="Times New Roman" w:hAnsi="Times New Roman" w:eastAsia="仿宋" w:cs="Times New Roman"/>
          <w:sz w:val="32"/>
          <w:szCs w:val="32"/>
        </w:rPr>
        <w:t>”</w:t>
      </w:r>
      <w:r>
        <w:rPr>
          <w:rFonts w:ascii="Times New Roman" w:eastAsia="仿宋" w:cs="Times New Roman"/>
          <w:sz w:val="32"/>
          <w:szCs w:val="32"/>
        </w:rPr>
        <w:t>项目，</w:t>
      </w:r>
      <w:r>
        <w:rPr>
          <w:rFonts w:ascii="Times New Roman" w:hAnsi="Times New Roman" w:eastAsia="仿宋" w:cs="Times New Roman"/>
          <w:sz w:val="32"/>
          <w:szCs w:val="32"/>
        </w:rPr>
        <w:t>2019</w:t>
      </w:r>
      <w:r>
        <w:rPr>
          <w:rFonts w:ascii="Times New Roman" w:eastAsia="仿宋" w:cs="Times New Roman"/>
          <w:sz w:val="32"/>
          <w:szCs w:val="32"/>
        </w:rPr>
        <w:t>年</w:t>
      </w:r>
      <w:r>
        <w:rPr>
          <w:rFonts w:ascii="Times New Roman" w:hAnsi="Times New Roman" w:eastAsia="仿宋" w:cs="Times New Roman"/>
          <w:sz w:val="32"/>
          <w:szCs w:val="32"/>
        </w:rPr>
        <w:t>“</w:t>
      </w:r>
      <w:r>
        <w:rPr>
          <w:rFonts w:ascii="Times New Roman" w:eastAsia="仿宋" w:cs="Times New Roman"/>
          <w:sz w:val="32"/>
          <w:szCs w:val="32"/>
        </w:rPr>
        <w:t>三公经费</w:t>
      </w:r>
      <w:r>
        <w:rPr>
          <w:rFonts w:ascii="Times New Roman" w:hAnsi="Times New Roman" w:eastAsia="仿宋" w:cs="Times New Roman"/>
          <w:sz w:val="32"/>
          <w:szCs w:val="32"/>
        </w:rPr>
        <w:t>”</w:t>
      </w:r>
      <w:r>
        <w:rPr>
          <w:rFonts w:ascii="Times New Roman" w:eastAsia="仿宋" w:cs="Times New Roman"/>
          <w:sz w:val="32"/>
          <w:szCs w:val="32"/>
        </w:rPr>
        <w:t>年初预算</w:t>
      </w:r>
      <w:r>
        <w:rPr>
          <w:rFonts w:ascii="Times New Roman" w:hAnsi="Times New Roman" w:eastAsia="仿宋" w:cs="Times New Roman"/>
          <w:sz w:val="32"/>
          <w:szCs w:val="32"/>
        </w:rPr>
        <w:t>57.00</w:t>
      </w:r>
      <w:r>
        <w:rPr>
          <w:rFonts w:ascii="Times New Roman" w:eastAsia="仿宋" w:cs="Times New Roman"/>
          <w:sz w:val="32"/>
          <w:szCs w:val="32"/>
        </w:rPr>
        <w:t>万元，其中公务用车</w:t>
      </w:r>
      <w:r>
        <w:rPr>
          <w:rFonts w:ascii="Times New Roman" w:hAnsi="Times New Roman" w:eastAsia="仿宋" w:cs="Times New Roman"/>
          <w:sz w:val="32"/>
          <w:szCs w:val="32"/>
        </w:rPr>
        <w:t>32.00</w:t>
      </w:r>
      <w:r>
        <w:rPr>
          <w:rFonts w:ascii="Times New Roman" w:eastAsia="仿宋" w:cs="Times New Roman"/>
          <w:sz w:val="32"/>
          <w:szCs w:val="32"/>
        </w:rPr>
        <w:t>万元，公务接待</w:t>
      </w:r>
      <w:r>
        <w:rPr>
          <w:rFonts w:ascii="Times New Roman" w:hAnsi="Times New Roman" w:eastAsia="仿宋" w:cs="Times New Roman"/>
          <w:sz w:val="32"/>
          <w:szCs w:val="32"/>
        </w:rPr>
        <w:t>25.00</w:t>
      </w:r>
      <w:r>
        <w:rPr>
          <w:rFonts w:ascii="Times New Roman" w:eastAsia="仿宋" w:cs="Times New Roman"/>
          <w:sz w:val="32"/>
          <w:szCs w:val="32"/>
        </w:rPr>
        <w:t>万元。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2019</w:t>
      </w:r>
      <w:r>
        <w:rPr>
          <w:rFonts w:ascii="Times New Roman" w:eastAsia="仿宋" w:cs="Times New Roman"/>
          <w:sz w:val="32"/>
          <w:szCs w:val="32"/>
        </w:rPr>
        <w:t>年公务用车同比减少</w:t>
      </w:r>
      <w:r>
        <w:rPr>
          <w:rFonts w:ascii="Times New Roman" w:hAnsi="Times New Roman" w:eastAsia="仿宋" w:cs="Times New Roman"/>
          <w:sz w:val="32"/>
          <w:szCs w:val="32"/>
        </w:rPr>
        <w:t>3.30</w:t>
      </w:r>
      <w:r>
        <w:rPr>
          <w:rFonts w:ascii="Times New Roman" w:eastAsia="仿宋" w:cs="Times New Roman"/>
          <w:sz w:val="32"/>
          <w:szCs w:val="32"/>
        </w:rPr>
        <w:t>万元，减幅为</w:t>
      </w:r>
      <w:r>
        <w:rPr>
          <w:rFonts w:ascii="Times New Roman" w:hAnsi="Times New Roman" w:eastAsia="仿宋" w:cs="Times New Roman"/>
          <w:sz w:val="32"/>
          <w:szCs w:val="32"/>
        </w:rPr>
        <w:t>11.60%</w:t>
      </w:r>
      <w:r>
        <w:rPr>
          <w:rFonts w:ascii="Times New Roman" w:eastAsia="仿宋" w:cs="Times New Roman"/>
          <w:sz w:val="32"/>
          <w:szCs w:val="32"/>
        </w:rPr>
        <w:t>；公务接待同比减少</w:t>
      </w:r>
      <w:r>
        <w:rPr>
          <w:rFonts w:ascii="Times New Roman" w:hAnsi="Times New Roman" w:eastAsia="仿宋" w:cs="Times New Roman"/>
          <w:sz w:val="32"/>
          <w:szCs w:val="32"/>
        </w:rPr>
        <w:t>0.22</w:t>
      </w:r>
      <w:r>
        <w:rPr>
          <w:rFonts w:ascii="Times New Roman" w:eastAsia="仿宋" w:cs="Times New Roman"/>
          <w:sz w:val="32"/>
          <w:szCs w:val="32"/>
        </w:rPr>
        <w:t>万元，减幅为</w:t>
      </w:r>
      <w:r>
        <w:rPr>
          <w:rFonts w:ascii="Times New Roman" w:hAnsi="Times New Roman" w:eastAsia="仿宋" w:cs="Times New Roman"/>
          <w:sz w:val="32"/>
          <w:szCs w:val="32"/>
        </w:rPr>
        <w:t>4.80%</w:t>
      </w:r>
      <w:r>
        <w:rPr>
          <w:rFonts w:ascii="Times New Roman" w:eastAsia="仿宋" w:cs="Times New Roman"/>
          <w:sz w:val="32"/>
          <w:szCs w:val="32"/>
        </w:rPr>
        <w:t>。</w:t>
      </w:r>
    </w:p>
    <w:p>
      <w:pPr>
        <w:autoSpaceDE w:val="0"/>
        <w:autoSpaceDN w:val="0"/>
        <w:adjustRightInd w:val="0"/>
        <w:spacing w:line="59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drawing>
          <wp:anchor distT="0" distB="0" distL="114300" distR="114300" simplePos="0" relativeHeight="251659264" behindDoc="0" locked="0" layoutInCell="1" allowOverlap="0">
            <wp:simplePos x="0" y="0"/>
            <wp:positionH relativeFrom="column">
              <wp:posOffset>400685</wp:posOffset>
            </wp:positionH>
            <wp:positionV relativeFrom="paragraph">
              <wp:posOffset>106045</wp:posOffset>
            </wp:positionV>
            <wp:extent cx="4871720" cy="2874645"/>
            <wp:effectExtent l="19050" t="0" r="24130" b="1905"/>
            <wp:wrapSquare wrapText="bothSides"/>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spacing w:line="360" w:lineRule="auto"/>
        <w:ind w:firstLine="1680" w:firstLineChars="800"/>
        <w:rPr>
          <w:rFonts w:ascii="Times New Roman" w:hAnsi="Times New Roman" w:eastAsia="黑体" w:cs="Times New Roman"/>
          <w:color w:val="000000"/>
        </w:rPr>
      </w:pPr>
      <w:r>
        <w:rPr>
          <w:rFonts w:hint="eastAsia" w:ascii="Times New Roman" w:hAnsi="Cambria" w:eastAsia="黑体" w:cs="Times New Roman"/>
          <w:color w:val="000000"/>
        </w:rPr>
        <w:t xml:space="preserve">              </w:t>
      </w:r>
      <w:r>
        <w:rPr>
          <w:rFonts w:ascii="Times New Roman" w:hAnsi="Cambria" w:eastAsia="黑体" w:cs="Times New Roman"/>
          <w:color w:val="000000"/>
        </w:rPr>
        <w:t>图表</w:t>
      </w:r>
      <w:r>
        <w:rPr>
          <w:rFonts w:ascii="Times New Roman" w:hAnsi="Times New Roman" w:eastAsia="黑体" w:cs="Times New Roman"/>
          <w:color w:val="000000"/>
        </w:rPr>
        <w:t>7    2015-2019“</w:t>
      </w:r>
      <w:r>
        <w:rPr>
          <w:rFonts w:ascii="Times New Roman" w:hAnsi="Cambria" w:eastAsia="黑体" w:cs="Times New Roman"/>
          <w:color w:val="000000"/>
        </w:rPr>
        <w:t>三公</w:t>
      </w:r>
      <w:r>
        <w:rPr>
          <w:rFonts w:ascii="Times New Roman" w:hAnsi="Times New Roman" w:eastAsia="黑体" w:cs="Times New Roman"/>
          <w:color w:val="000000"/>
        </w:rPr>
        <w:t>”</w:t>
      </w:r>
      <w:r>
        <w:rPr>
          <w:rFonts w:ascii="Times New Roman" w:hAnsi="Cambria" w:eastAsia="黑体" w:cs="Times New Roman"/>
          <w:color w:val="000000"/>
        </w:rPr>
        <w:t>经费支出情况图</w:t>
      </w:r>
    </w:p>
    <w:p>
      <w:pPr>
        <w:spacing w:line="360" w:lineRule="auto"/>
        <w:ind w:firstLine="640" w:firstLineChars="200"/>
        <w:jc w:val="left"/>
        <w:rPr>
          <w:rFonts w:ascii="Times New Roman" w:hAnsi="Times New Roman" w:eastAsia="仿宋" w:cs="Times New Roman"/>
          <w:sz w:val="32"/>
          <w:szCs w:val="32"/>
        </w:rPr>
      </w:pPr>
      <w:r>
        <w:rPr>
          <w:rFonts w:ascii="Times New Roman" w:eastAsia="仿宋" w:cs="Times New Roman"/>
          <w:sz w:val="32"/>
          <w:szCs w:val="32"/>
        </w:rPr>
        <w:t>从总体趋势看，近几年我单位</w:t>
      </w:r>
      <w:r>
        <w:rPr>
          <w:rFonts w:ascii="Times New Roman" w:hAnsi="Times New Roman" w:eastAsia="仿宋" w:cs="Times New Roman"/>
          <w:sz w:val="32"/>
          <w:szCs w:val="32"/>
        </w:rPr>
        <w:t>“</w:t>
      </w:r>
      <w:r>
        <w:rPr>
          <w:rFonts w:ascii="Times New Roman" w:eastAsia="仿宋" w:cs="Times New Roman"/>
          <w:sz w:val="32"/>
          <w:szCs w:val="32"/>
        </w:rPr>
        <w:t>三公</w:t>
      </w:r>
      <w:r>
        <w:rPr>
          <w:rFonts w:ascii="Times New Roman" w:hAnsi="Times New Roman" w:eastAsia="仿宋" w:cs="Times New Roman"/>
          <w:sz w:val="32"/>
          <w:szCs w:val="32"/>
        </w:rPr>
        <w:t>”</w:t>
      </w:r>
      <w:r>
        <w:rPr>
          <w:rFonts w:ascii="Times New Roman" w:eastAsia="仿宋" w:cs="Times New Roman"/>
          <w:sz w:val="32"/>
          <w:szCs w:val="32"/>
        </w:rPr>
        <w:t>经费支出呈大幅下降趋势，主要原因为</w:t>
      </w:r>
      <w:r>
        <w:rPr>
          <w:rFonts w:ascii="Times New Roman" w:hAnsi="Times New Roman" w:eastAsia="仿宋" w:cs="Times New Roman"/>
          <w:sz w:val="32"/>
          <w:szCs w:val="32"/>
        </w:rPr>
        <w:t>2018</w:t>
      </w:r>
      <w:r>
        <w:rPr>
          <w:rFonts w:ascii="Times New Roman" w:eastAsia="仿宋" w:cs="Times New Roman"/>
          <w:sz w:val="32"/>
          <w:szCs w:val="32"/>
        </w:rPr>
        <w:t>年起我单位实行一级核算，统一核算、归口管理，认真贯彻落实中央八项规定</w:t>
      </w:r>
      <w:r>
        <w:rPr>
          <w:rFonts w:hint="eastAsia" w:ascii="Times New Roman" w:eastAsia="仿宋" w:cs="Times New Roman"/>
          <w:sz w:val="32"/>
          <w:szCs w:val="32"/>
          <w:lang w:val="en-US" w:eastAsia="zh-CN"/>
        </w:rPr>
        <w:t>及其实施细则精神</w:t>
      </w:r>
      <w:bookmarkStart w:id="0" w:name="_GoBack"/>
      <w:bookmarkEnd w:id="0"/>
      <w:r>
        <w:rPr>
          <w:rFonts w:ascii="Times New Roman" w:eastAsia="仿宋" w:cs="Times New Roman"/>
          <w:sz w:val="32"/>
          <w:szCs w:val="32"/>
        </w:rPr>
        <w:t>，厉行节约、严格控制经费支出。</w:t>
      </w:r>
    </w:p>
    <w:p>
      <w:pPr>
        <w:autoSpaceDE w:val="0"/>
        <w:autoSpaceDN w:val="0"/>
        <w:adjustRightInd w:val="0"/>
        <w:spacing w:line="590" w:lineRule="exact"/>
        <w:ind w:firstLine="600" w:firstLineChars="200"/>
        <w:jc w:val="left"/>
        <w:rPr>
          <w:rFonts w:ascii="Times New Roman" w:hAnsi="Times New Roman" w:eastAsia="楷体" w:cs="Times New Roman"/>
          <w:sz w:val="30"/>
          <w:szCs w:val="30"/>
        </w:rPr>
      </w:pPr>
      <w:r>
        <w:rPr>
          <w:rFonts w:ascii="Times New Roman" w:hAnsi="Times New Roman" w:eastAsia="楷体" w:cs="Times New Roman"/>
          <w:sz w:val="30"/>
          <w:szCs w:val="30"/>
        </w:rPr>
        <w:t xml:space="preserve"> (二)一般公共预算财政拨款“三公”经费支出决算具体情况</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2019年度一般公共预算财政拨款“三公”经费支出决算中，因公出国（境）费支出0.00万元，占0.00%；公务用车购置及运行维护费支出25.20万元，占85.31%；公务接待费支出4.34万元，占14.69%。具体情况如下：</w:t>
      </w:r>
    </w:p>
    <w:p>
      <w:pPr>
        <w:autoSpaceDE w:val="0"/>
        <w:autoSpaceDN w:val="0"/>
        <w:adjustRightInd w:val="0"/>
        <w:spacing w:line="590" w:lineRule="exact"/>
        <w:ind w:firstLine="602" w:firstLineChars="200"/>
        <w:rPr>
          <w:rFonts w:ascii="Times New Roman" w:hAnsi="Times New Roman" w:eastAsia="仿宋" w:cs="Times New Roman"/>
          <w:color w:val="FF0000"/>
          <w:sz w:val="30"/>
          <w:szCs w:val="30"/>
        </w:rPr>
      </w:pPr>
      <w:r>
        <w:rPr>
          <w:rFonts w:ascii="Times New Roman" w:hAnsi="Times New Roman" w:eastAsia="仿宋" w:cs="Times New Roman"/>
          <w:b/>
          <w:bCs/>
          <w:sz w:val="30"/>
          <w:szCs w:val="30"/>
        </w:rPr>
        <w:t>1.因公出国（境）费</w:t>
      </w:r>
      <w:r>
        <w:rPr>
          <w:rFonts w:ascii="Times New Roman" w:hAnsi="Times New Roman" w:eastAsia="仿宋" w:cs="Times New Roman"/>
          <w:sz w:val="30"/>
          <w:szCs w:val="30"/>
        </w:rPr>
        <w:t>支出0.00万元，共安排因公出国（境）团组0个，累计0人次。</w:t>
      </w:r>
    </w:p>
    <w:p>
      <w:pPr>
        <w:autoSpaceDE w:val="0"/>
        <w:autoSpaceDN w:val="0"/>
        <w:adjustRightInd w:val="0"/>
        <w:spacing w:line="590" w:lineRule="exact"/>
        <w:ind w:firstLine="602" w:firstLineChars="200"/>
        <w:jc w:val="left"/>
        <w:rPr>
          <w:rFonts w:ascii="Times New Roman" w:hAnsi="Times New Roman" w:eastAsia="仿宋" w:cs="Times New Roman"/>
          <w:sz w:val="30"/>
          <w:szCs w:val="30"/>
        </w:rPr>
      </w:pPr>
      <w:r>
        <w:rPr>
          <w:rFonts w:ascii="Times New Roman" w:hAnsi="Times New Roman" w:eastAsia="仿宋" w:cs="Times New Roman"/>
          <w:b/>
          <w:bCs/>
          <w:sz w:val="30"/>
          <w:szCs w:val="30"/>
        </w:rPr>
        <w:t>2.公务用车购置及运行维护费</w:t>
      </w:r>
      <w:r>
        <w:rPr>
          <w:rFonts w:ascii="Times New Roman" w:hAnsi="Times New Roman" w:eastAsia="仿宋" w:cs="Times New Roman"/>
          <w:sz w:val="30"/>
          <w:szCs w:val="30"/>
        </w:rPr>
        <w:t>支出25.20万元。其中：</w:t>
      </w:r>
    </w:p>
    <w:p>
      <w:pPr>
        <w:autoSpaceDE w:val="0"/>
        <w:autoSpaceDN w:val="0"/>
        <w:adjustRightInd w:val="0"/>
        <w:spacing w:line="590" w:lineRule="exact"/>
        <w:ind w:firstLine="602" w:firstLineChars="200"/>
        <w:rPr>
          <w:rFonts w:ascii="Times New Roman" w:hAnsi="Times New Roman" w:eastAsia="仿宋" w:cs="Times New Roman"/>
          <w:color w:val="FF0000"/>
          <w:sz w:val="30"/>
          <w:szCs w:val="30"/>
        </w:rPr>
      </w:pPr>
      <w:r>
        <w:rPr>
          <w:rFonts w:ascii="Times New Roman" w:hAnsi="Times New Roman" w:eastAsia="仿宋" w:cs="Times New Roman"/>
          <w:b/>
          <w:bCs/>
          <w:sz w:val="30"/>
          <w:szCs w:val="30"/>
        </w:rPr>
        <w:t>公务用车购置</w:t>
      </w:r>
      <w:r>
        <w:rPr>
          <w:rFonts w:ascii="Times New Roman" w:hAnsi="Times New Roman" w:eastAsia="仿宋" w:cs="Times New Roman"/>
          <w:sz w:val="30"/>
          <w:szCs w:val="30"/>
        </w:rPr>
        <w:t>支出0.00万元，购置车辆0辆。</w:t>
      </w:r>
    </w:p>
    <w:p>
      <w:pPr>
        <w:autoSpaceDE w:val="0"/>
        <w:autoSpaceDN w:val="0"/>
        <w:adjustRightInd w:val="0"/>
        <w:spacing w:line="590" w:lineRule="exact"/>
        <w:ind w:firstLine="602" w:firstLineChars="200"/>
        <w:jc w:val="left"/>
        <w:rPr>
          <w:rFonts w:ascii="Times New Roman" w:hAnsi="Times New Roman" w:eastAsia="仿宋" w:cs="Times New Roman"/>
          <w:sz w:val="30"/>
          <w:szCs w:val="30"/>
        </w:rPr>
      </w:pPr>
      <w:r>
        <w:rPr>
          <w:rFonts w:ascii="Times New Roman" w:hAnsi="Times New Roman" w:eastAsia="仿宋" w:cs="Times New Roman"/>
          <w:b/>
          <w:bCs/>
          <w:sz w:val="30"/>
          <w:szCs w:val="30"/>
        </w:rPr>
        <w:t>公务用车运行维护</w:t>
      </w:r>
      <w:r>
        <w:rPr>
          <w:rFonts w:ascii="Times New Roman" w:hAnsi="Times New Roman" w:eastAsia="仿宋" w:cs="Times New Roman"/>
          <w:sz w:val="30"/>
          <w:szCs w:val="30"/>
        </w:rPr>
        <w:t>支出25.20万元，开支财政拨款的公务用车保有量为0辆。主要用于（相关工作范围）所需车辆燃料费、维修费、过路过桥费、保险费等。</w:t>
      </w:r>
    </w:p>
    <w:p>
      <w:pPr>
        <w:autoSpaceDE w:val="0"/>
        <w:autoSpaceDN w:val="0"/>
        <w:adjustRightInd w:val="0"/>
        <w:spacing w:line="590" w:lineRule="exact"/>
        <w:ind w:firstLine="602" w:firstLineChars="200"/>
        <w:jc w:val="left"/>
        <w:rPr>
          <w:rFonts w:ascii="Times New Roman" w:hAnsi="Times New Roman" w:eastAsia="仿宋" w:cs="Times New Roman"/>
          <w:sz w:val="30"/>
          <w:szCs w:val="30"/>
        </w:rPr>
      </w:pPr>
      <w:r>
        <w:rPr>
          <w:rFonts w:ascii="Times New Roman" w:hAnsi="Times New Roman" w:eastAsia="仿宋" w:cs="Times New Roman"/>
          <w:b/>
          <w:bCs/>
          <w:sz w:val="30"/>
          <w:szCs w:val="30"/>
        </w:rPr>
        <w:t>3.公务接待费</w:t>
      </w:r>
      <w:r>
        <w:rPr>
          <w:rFonts w:ascii="Times New Roman" w:hAnsi="Times New Roman" w:eastAsia="仿宋" w:cs="Times New Roman"/>
          <w:sz w:val="30"/>
          <w:szCs w:val="30"/>
        </w:rPr>
        <w:t>支出4.34万元。其中：</w:t>
      </w:r>
    </w:p>
    <w:p>
      <w:pPr>
        <w:autoSpaceDE w:val="0"/>
        <w:autoSpaceDN w:val="0"/>
        <w:adjustRightInd w:val="0"/>
        <w:spacing w:line="590" w:lineRule="exact"/>
        <w:ind w:firstLine="602" w:firstLineChars="200"/>
        <w:rPr>
          <w:rFonts w:ascii="Times New Roman" w:hAnsi="Times New Roman" w:eastAsia="仿宋" w:cs="Times New Roman"/>
          <w:color w:val="FF0000"/>
          <w:sz w:val="30"/>
          <w:szCs w:val="30"/>
        </w:rPr>
      </w:pPr>
      <w:r>
        <w:rPr>
          <w:rFonts w:ascii="Times New Roman" w:hAnsi="Times New Roman" w:eastAsia="仿宋" w:cs="Times New Roman"/>
          <w:b/>
          <w:bCs/>
          <w:sz w:val="30"/>
          <w:szCs w:val="30"/>
        </w:rPr>
        <w:t>国内接待费</w:t>
      </w:r>
      <w:r>
        <w:rPr>
          <w:rFonts w:ascii="Times New Roman" w:hAnsi="Times New Roman" w:eastAsia="仿宋" w:cs="Times New Roman"/>
          <w:sz w:val="30"/>
          <w:szCs w:val="30"/>
        </w:rPr>
        <w:t>支出4.34万元（其中：外事接待费支出0.00万元），共安排国内公务接待0批次（其中：外事接待0批次），接待人次0人（其中：外事接待人次0人）。</w:t>
      </w:r>
    </w:p>
    <w:p>
      <w:pPr>
        <w:autoSpaceDE w:val="0"/>
        <w:autoSpaceDN w:val="0"/>
        <w:adjustRightInd w:val="0"/>
        <w:spacing w:line="590" w:lineRule="exact"/>
        <w:ind w:firstLine="602"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国（境）外接待费</w:t>
      </w:r>
      <w:r>
        <w:rPr>
          <w:rFonts w:ascii="Times New Roman" w:hAnsi="Times New Roman" w:eastAsia="仿宋" w:cs="Times New Roman"/>
          <w:sz w:val="30"/>
          <w:szCs w:val="30"/>
        </w:rPr>
        <w:t>支出0.00万元，共安排国（境）外公务接待0批次，接待人次0人。</w:t>
      </w:r>
    </w:p>
    <w:p>
      <w:pPr>
        <w:autoSpaceDE w:val="0"/>
        <w:autoSpaceDN w:val="0"/>
        <w:adjustRightInd w:val="0"/>
        <w:spacing w:line="590" w:lineRule="exact"/>
        <w:ind w:firstLine="600" w:firstLineChars="200"/>
        <w:rPr>
          <w:rFonts w:ascii="Times New Roman" w:hAnsi="Times New Roman" w:eastAsia="仿宋" w:cs="Times New Roman"/>
          <w:sz w:val="30"/>
          <w:szCs w:val="30"/>
        </w:rPr>
      </w:pPr>
    </w:p>
    <w:p>
      <w:pPr>
        <w:autoSpaceDE w:val="0"/>
        <w:autoSpaceDN w:val="0"/>
        <w:adjustRightInd w:val="0"/>
        <w:spacing w:line="590" w:lineRule="exact"/>
        <w:ind w:firstLine="640"/>
        <w:jc w:val="center"/>
        <w:rPr>
          <w:rFonts w:ascii="Times New Roman" w:hAnsi="Times New Roman" w:eastAsia="黑体" w:cs="Times New Roman"/>
          <w:sz w:val="32"/>
          <w:szCs w:val="32"/>
        </w:rPr>
      </w:pPr>
      <w:r>
        <w:rPr>
          <w:rFonts w:ascii="Times New Roman" w:hAnsi="Times New Roman" w:eastAsia="黑体" w:cs="Times New Roman"/>
          <w:sz w:val="32"/>
          <w:szCs w:val="32"/>
        </w:rPr>
        <w:t>第四部分  其他重要事项及相关口径情况说明</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一、机关运行经费支出情况</w:t>
      </w:r>
    </w:p>
    <w:p>
      <w:pPr>
        <w:autoSpaceDE w:val="0"/>
        <w:autoSpaceDN w:val="0"/>
        <w:adjustRightInd w:val="0"/>
        <w:spacing w:line="590" w:lineRule="exact"/>
        <w:ind w:firstLine="600" w:firstLineChars="200"/>
        <w:rPr>
          <w:rFonts w:ascii="Times New Roman" w:hAnsi="Times New Roman" w:eastAsia="仿宋" w:cs="Times New Roman"/>
          <w:color w:val="FF0000"/>
          <w:sz w:val="30"/>
          <w:szCs w:val="30"/>
        </w:rPr>
      </w:pPr>
      <w:r>
        <w:rPr>
          <w:rFonts w:ascii="Times New Roman" w:hAnsi="Times New Roman" w:eastAsia="仿宋" w:cs="Times New Roman"/>
          <w:sz w:val="30"/>
          <w:szCs w:val="30"/>
        </w:rPr>
        <w:t>云南省种畜繁育推广中心2019年机关运行经费支出0.00万元</w:t>
      </w:r>
      <w:r>
        <w:rPr>
          <w:rFonts w:hint="eastAsia" w:ascii="Times New Roman" w:hAnsi="Times New Roman" w:eastAsia="仿宋" w:cs="Times New Roman"/>
          <w:sz w:val="30"/>
          <w:szCs w:val="30"/>
        </w:rPr>
        <w:t>。</w:t>
      </w:r>
      <w:r>
        <w:rPr>
          <w:rFonts w:ascii="Times New Roman" w:hAnsi="Times New Roman" w:eastAsia="仿宋" w:cs="Times New Roman"/>
          <w:color w:val="FF0000"/>
          <w:sz w:val="30"/>
          <w:szCs w:val="30"/>
        </w:rPr>
        <w:t xml:space="preserve"> </w:t>
      </w:r>
    </w:p>
    <w:p>
      <w:pPr>
        <w:autoSpaceDE w:val="0"/>
        <w:autoSpaceDN w:val="0"/>
        <w:adjustRightInd w:val="0"/>
        <w:spacing w:line="590" w:lineRule="exact"/>
        <w:ind w:firstLine="600" w:firstLineChars="200"/>
        <w:rPr>
          <w:rFonts w:ascii="Times New Roman" w:hAnsi="Times New Roman" w:eastAsia="仿宋" w:cs="Times New Roman"/>
          <w:color w:val="FF0000"/>
          <w:sz w:val="30"/>
          <w:szCs w:val="30"/>
        </w:rPr>
      </w:pP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二、国有资产占用情况</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p>
    <w:p>
      <w:pPr>
        <w:snapToGrid w:val="0"/>
        <w:spacing w:line="360" w:lineRule="auto"/>
        <w:ind w:firstLine="600" w:firstLineChars="200"/>
        <w:rPr>
          <w:rFonts w:hint="eastAsia" w:ascii="Times New Roman" w:eastAsia="仿宋" w:cs="Times New Roman"/>
          <w:sz w:val="32"/>
          <w:szCs w:val="32"/>
        </w:rPr>
      </w:pPr>
      <w:r>
        <w:rPr>
          <w:rFonts w:ascii="Times New Roman" w:hAnsi="Times New Roman" w:eastAsia="仿宋" w:cs="Times New Roman"/>
          <w:sz w:val="30"/>
          <w:szCs w:val="30"/>
        </w:rPr>
        <w:t>截至2019年12月31日，云南省种畜繁育推广中心资产总额7,493.61</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元，其中，流动资产4,312.47</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元，固定资产</w:t>
      </w:r>
      <w:r>
        <w:rPr>
          <w:rFonts w:hint="eastAsia" w:ascii="Times New Roman" w:hAnsi="Times New Roman" w:eastAsia="仿宋" w:cs="Times New Roman"/>
          <w:sz w:val="30"/>
          <w:szCs w:val="30"/>
        </w:rPr>
        <w:t>3,181.14</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元，对外投资及有价证券0</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元，在建工程0</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元，无形资产0</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元，其他资产0</w:t>
      </w:r>
      <w:r>
        <w:rPr>
          <w:rFonts w:ascii="Times New Roman" w:hAnsi="Times New Roman" w:eastAsia="仿宋" w:cs="Times New Roman"/>
          <w:kern w:val="0"/>
          <w:sz w:val="30"/>
          <w:szCs w:val="30"/>
        </w:rPr>
        <w:t>万</w:t>
      </w:r>
      <w:r>
        <w:rPr>
          <w:rFonts w:ascii="Times New Roman" w:hAnsi="Times New Roman" w:eastAsia="仿宋" w:cs="Times New Roman"/>
          <w:sz w:val="30"/>
          <w:szCs w:val="30"/>
        </w:rPr>
        <w:t>元（具体内容详见附表）。与上年相比，本年资产总额减少230.48万元，</w:t>
      </w:r>
      <w:r>
        <w:rPr>
          <w:rFonts w:ascii="Times New Roman" w:eastAsia="仿宋" w:cs="Times New Roman"/>
          <w:sz w:val="32"/>
          <w:szCs w:val="32"/>
        </w:rPr>
        <w:t>减幅为</w:t>
      </w:r>
      <w:r>
        <w:rPr>
          <w:rFonts w:ascii="Times New Roman" w:hAnsi="Times New Roman" w:eastAsia="仿宋" w:cs="Times New Roman"/>
          <w:sz w:val="32"/>
          <w:szCs w:val="32"/>
        </w:rPr>
        <w:t>2.98%</w:t>
      </w:r>
      <w:r>
        <w:rPr>
          <w:rFonts w:ascii="Times New Roman" w:eastAsia="仿宋" w:cs="Times New Roman"/>
          <w:sz w:val="32"/>
          <w:szCs w:val="32"/>
        </w:rPr>
        <w:t>。</w:t>
      </w:r>
      <w:r>
        <w:rPr>
          <w:rFonts w:ascii="Times New Roman" w:hAnsi="Times New Roman" w:eastAsia="仿宋" w:cs="Times New Roman"/>
          <w:sz w:val="30"/>
          <w:szCs w:val="30"/>
        </w:rPr>
        <w:t>其中;流动资产增加8.54万元，</w:t>
      </w:r>
      <w:r>
        <w:rPr>
          <w:rFonts w:ascii="Times New Roman" w:eastAsia="仿宋" w:cs="Times New Roman"/>
          <w:sz w:val="32"/>
          <w:szCs w:val="32"/>
        </w:rPr>
        <w:t>主要因为货币资金减少，以及往来款项的减少；二是非流动资产减少</w:t>
      </w:r>
      <w:r>
        <w:rPr>
          <w:rFonts w:ascii="Times New Roman" w:hAnsi="Times New Roman" w:eastAsia="仿宋" w:cs="Times New Roman"/>
          <w:sz w:val="32"/>
          <w:szCs w:val="32"/>
        </w:rPr>
        <w:t>239.02</w:t>
      </w:r>
      <w:r>
        <w:rPr>
          <w:rFonts w:ascii="Times New Roman" w:eastAsia="仿宋" w:cs="Times New Roman"/>
          <w:sz w:val="32"/>
          <w:szCs w:val="32"/>
        </w:rPr>
        <w:t>万元，其中：固定资产减少</w:t>
      </w:r>
      <w:r>
        <w:rPr>
          <w:rFonts w:ascii="Times New Roman" w:hAnsi="Times New Roman" w:eastAsia="仿宋" w:cs="Times New Roman"/>
          <w:sz w:val="32"/>
          <w:szCs w:val="32"/>
        </w:rPr>
        <w:t>47.46</w:t>
      </w:r>
      <w:r>
        <w:rPr>
          <w:rFonts w:ascii="Times New Roman" w:eastAsia="仿宋" w:cs="Times New Roman"/>
          <w:sz w:val="32"/>
          <w:szCs w:val="32"/>
        </w:rPr>
        <w:t>万元，主要为</w:t>
      </w:r>
      <w:r>
        <w:rPr>
          <w:rFonts w:ascii="Times New Roman" w:hAnsi="Times New Roman" w:eastAsia="仿宋" w:cs="Times New Roman"/>
          <w:sz w:val="32"/>
          <w:szCs w:val="32"/>
        </w:rPr>
        <w:t>2019</w:t>
      </w:r>
      <w:r>
        <w:rPr>
          <w:rFonts w:ascii="Times New Roman" w:eastAsia="仿宋" w:cs="Times New Roman"/>
          <w:sz w:val="32"/>
          <w:szCs w:val="32"/>
        </w:rPr>
        <w:t>年度处置固定资产牛只</w:t>
      </w:r>
      <w:r>
        <w:rPr>
          <w:rFonts w:ascii="Times New Roman" w:hAnsi="Times New Roman" w:eastAsia="仿宋" w:cs="Times New Roman"/>
          <w:sz w:val="32"/>
          <w:szCs w:val="32"/>
        </w:rPr>
        <w:t>19</w:t>
      </w:r>
      <w:r>
        <w:rPr>
          <w:rFonts w:ascii="Times New Roman" w:eastAsia="仿宋" w:cs="Times New Roman"/>
          <w:sz w:val="32"/>
          <w:szCs w:val="32"/>
        </w:rPr>
        <w:t>头，原值</w:t>
      </w:r>
      <w:r>
        <w:rPr>
          <w:rFonts w:ascii="Times New Roman" w:hAnsi="Times New Roman" w:eastAsia="仿宋" w:cs="Times New Roman"/>
          <w:sz w:val="32"/>
          <w:szCs w:val="32"/>
        </w:rPr>
        <w:t>53.05</w:t>
      </w:r>
      <w:r>
        <w:rPr>
          <w:rFonts w:ascii="Times New Roman" w:eastAsia="仿宋" w:cs="Times New Roman"/>
          <w:sz w:val="32"/>
          <w:szCs w:val="32"/>
        </w:rPr>
        <w:t>万元，购办公设备电脑</w:t>
      </w:r>
      <w:r>
        <w:rPr>
          <w:rFonts w:ascii="Times New Roman" w:hAnsi="Times New Roman" w:eastAsia="仿宋" w:cs="Times New Roman"/>
          <w:sz w:val="32"/>
          <w:szCs w:val="32"/>
        </w:rPr>
        <w:t>9</w:t>
      </w:r>
      <w:r>
        <w:rPr>
          <w:rFonts w:ascii="Times New Roman" w:eastAsia="仿宋" w:cs="Times New Roman"/>
          <w:sz w:val="32"/>
          <w:szCs w:val="32"/>
        </w:rPr>
        <w:t>台、多功能一体机</w:t>
      </w:r>
      <w:r>
        <w:rPr>
          <w:rFonts w:ascii="Times New Roman" w:hAnsi="Times New Roman" w:eastAsia="仿宋" w:cs="Times New Roman"/>
          <w:sz w:val="32"/>
          <w:szCs w:val="32"/>
        </w:rPr>
        <w:t>1</w:t>
      </w:r>
      <w:r>
        <w:rPr>
          <w:rFonts w:ascii="Times New Roman" w:eastAsia="仿宋" w:cs="Times New Roman"/>
          <w:sz w:val="32"/>
          <w:szCs w:val="32"/>
        </w:rPr>
        <w:t>台，原值</w:t>
      </w:r>
      <w:r>
        <w:rPr>
          <w:rFonts w:ascii="Times New Roman" w:hAnsi="Times New Roman" w:eastAsia="仿宋" w:cs="Times New Roman"/>
          <w:sz w:val="32"/>
          <w:szCs w:val="32"/>
        </w:rPr>
        <w:t>5.59</w:t>
      </w:r>
      <w:r>
        <w:rPr>
          <w:rFonts w:ascii="Times New Roman" w:eastAsia="仿宋" w:cs="Times New Roman"/>
          <w:sz w:val="32"/>
          <w:szCs w:val="32"/>
        </w:rPr>
        <w:t>万元。</w:t>
      </w:r>
    </w:p>
    <w:p>
      <w:pPr>
        <w:snapToGrid w:val="0"/>
        <w:spacing w:line="360" w:lineRule="auto"/>
        <w:ind w:firstLine="640" w:firstLineChars="200"/>
        <w:rPr>
          <w:rFonts w:hint="eastAsia" w:ascii="Times New Roman" w:eastAsia="仿宋" w:cs="Times New Roman"/>
          <w:sz w:val="32"/>
          <w:szCs w:val="32"/>
        </w:rPr>
      </w:pPr>
    </w:p>
    <w:p>
      <w:pPr>
        <w:snapToGrid w:val="0"/>
        <w:spacing w:line="360" w:lineRule="auto"/>
        <w:ind w:firstLine="640" w:firstLineChars="200"/>
        <w:rPr>
          <w:rFonts w:hint="eastAsia" w:ascii="Times New Roman" w:eastAsia="仿宋" w:cs="Times New Roman"/>
          <w:sz w:val="32"/>
          <w:szCs w:val="32"/>
        </w:rPr>
      </w:pPr>
    </w:p>
    <w:p>
      <w:pPr>
        <w:snapToGrid w:val="0"/>
        <w:spacing w:line="360" w:lineRule="auto"/>
        <w:ind w:firstLine="640" w:firstLineChars="200"/>
        <w:rPr>
          <w:rFonts w:hint="eastAsia" w:ascii="Times New Roman" w:eastAsia="仿宋" w:cs="Times New Roman"/>
          <w:sz w:val="32"/>
          <w:szCs w:val="32"/>
        </w:rPr>
      </w:pPr>
    </w:p>
    <w:p>
      <w:pPr>
        <w:snapToGrid w:val="0"/>
        <w:spacing w:line="360" w:lineRule="auto"/>
        <w:rPr>
          <w:rFonts w:ascii="Times New Roman" w:hAnsi="Times New Roman" w:eastAsia="仿宋" w:cs="Times New Roman"/>
          <w:sz w:val="32"/>
          <w:szCs w:val="32"/>
        </w:rPr>
      </w:pPr>
    </w:p>
    <w:tbl>
      <w:tblPr>
        <w:tblStyle w:val="7"/>
        <w:tblW w:w="9539" w:type="dxa"/>
        <w:tblInd w:w="-411" w:type="dxa"/>
        <w:tblLayout w:type="fixed"/>
        <w:tblCellMar>
          <w:top w:w="0" w:type="dxa"/>
          <w:left w:w="0" w:type="dxa"/>
          <w:bottom w:w="0" w:type="dxa"/>
          <w:right w:w="0" w:type="dxa"/>
        </w:tblCellMar>
      </w:tblPr>
      <w:tblGrid>
        <w:gridCol w:w="568"/>
        <w:gridCol w:w="284"/>
        <w:gridCol w:w="850"/>
        <w:gridCol w:w="992"/>
        <w:gridCol w:w="871"/>
        <w:gridCol w:w="972"/>
        <w:gridCol w:w="851"/>
        <w:gridCol w:w="348"/>
        <w:gridCol w:w="380"/>
        <w:gridCol w:w="851"/>
        <w:gridCol w:w="567"/>
        <w:gridCol w:w="304"/>
        <w:gridCol w:w="851"/>
        <w:gridCol w:w="850"/>
      </w:tblGrid>
      <w:tr>
        <w:tblPrEx>
          <w:tblCellMar>
            <w:top w:w="0" w:type="dxa"/>
            <w:left w:w="0" w:type="dxa"/>
            <w:bottom w:w="0" w:type="dxa"/>
            <w:right w:w="0" w:type="dxa"/>
          </w:tblCellMar>
        </w:tblPrEx>
        <w:trPr>
          <w:trHeight w:val="390" w:hRule="atLeast"/>
        </w:trPr>
        <w:tc>
          <w:tcPr>
            <w:tcW w:w="9539" w:type="dxa"/>
            <w:gridSpan w:val="14"/>
            <w:shd w:val="clear" w:color="auto" w:fill="FFFFFF"/>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eastAsia="仿宋_GB2312" w:cs="Times New Roman"/>
                <w:b/>
                <w:bCs/>
                <w:color w:val="000000"/>
                <w:kern w:val="0"/>
                <w:sz w:val="30"/>
                <w:szCs w:val="30"/>
              </w:rPr>
            </w:pPr>
            <w:r>
              <w:rPr>
                <w:rFonts w:ascii="Times New Roman" w:hAnsi="Times New Roman" w:eastAsia="仿宋_GB2312" w:cs="Times New Roman"/>
                <w:b/>
                <w:bCs/>
                <w:color w:val="000000"/>
                <w:kern w:val="0"/>
                <w:sz w:val="30"/>
                <w:szCs w:val="30"/>
              </w:rPr>
              <w:t>国有资产占有使用情况表</w:t>
            </w:r>
          </w:p>
        </w:tc>
      </w:tr>
      <w:tr>
        <w:tblPrEx>
          <w:tblCellMar>
            <w:top w:w="0" w:type="dxa"/>
            <w:left w:w="0" w:type="dxa"/>
            <w:bottom w:w="0" w:type="dxa"/>
            <w:right w:w="0" w:type="dxa"/>
          </w:tblCellMar>
        </w:tblPrEx>
        <w:trPr>
          <w:trHeight w:val="270" w:hRule="atLeast"/>
        </w:trPr>
        <w:tc>
          <w:tcPr>
            <w:tcW w:w="5736" w:type="dxa"/>
            <w:gridSpan w:val="8"/>
            <w:tcBorders>
              <w:top w:val="nil"/>
              <w:left w:val="nil"/>
              <w:bottom w:val="single" w:color="000000" w:sz="4" w:space="0"/>
              <w:right w:val="nil"/>
            </w:tcBorders>
            <w:shd w:val="clear" w:color="auto" w:fill="FFFFFF"/>
            <w:tcMar>
              <w:top w:w="15" w:type="dxa"/>
              <w:left w:w="15" w:type="dxa"/>
              <w:bottom w:w="15" w:type="dxa"/>
              <w:right w:w="15" w:type="dxa"/>
            </w:tcMar>
            <w:vAlign w:val="center"/>
          </w:tcPr>
          <w:p>
            <w:pPr>
              <w:widowControl/>
              <w:spacing w:before="100" w:beforeAutospacing="1" w:after="100" w:afterAutospacing="1"/>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1231" w:type="dxa"/>
            <w:gridSpan w:val="2"/>
            <w:tcBorders>
              <w:top w:val="nil"/>
              <w:left w:val="nil"/>
              <w:bottom w:val="single" w:color="000000" w:sz="4" w:space="0"/>
              <w:right w:val="nil"/>
            </w:tcBorders>
            <w:shd w:val="clear" w:color="auto" w:fill="FFFFFF"/>
            <w:tcMar>
              <w:top w:w="15" w:type="dxa"/>
              <w:left w:w="15" w:type="dxa"/>
              <w:bottom w:w="15" w:type="dxa"/>
              <w:right w:w="15" w:type="dxa"/>
            </w:tcMar>
            <w:vAlign w:val="center"/>
          </w:tcPr>
          <w:p>
            <w:pPr>
              <w:widowControl/>
              <w:spacing w:before="100" w:beforeAutospacing="1" w:after="100" w:afterAutospacing="1"/>
              <w:jc w:val="left"/>
              <w:rPr>
                <w:rFonts w:ascii="Times New Roman" w:hAnsi="Times New Roman" w:cs="Times New Roman"/>
                <w:color w:val="000000"/>
                <w:kern w:val="0"/>
                <w:sz w:val="20"/>
                <w:szCs w:val="20"/>
              </w:rPr>
            </w:pPr>
          </w:p>
        </w:tc>
        <w:tc>
          <w:tcPr>
            <w:tcW w:w="2572" w:type="dxa"/>
            <w:gridSpan w:val="4"/>
            <w:tcBorders>
              <w:top w:val="nil"/>
              <w:left w:val="nil"/>
              <w:bottom w:val="single" w:color="000000" w:sz="4" w:space="0"/>
              <w:right w:val="nil"/>
            </w:tcBorders>
            <w:shd w:val="clear" w:color="auto" w:fill="FFFFFF"/>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color w:val="000000"/>
                <w:kern w:val="0"/>
                <w:sz w:val="20"/>
                <w:szCs w:val="20"/>
              </w:rPr>
            </w:pPr>
            <w:r>
              <w:rPr>
                <w:rFonts w:ascii="Times New Roman" w:hAnsi="宋体" w:cs="Times New Roman"/>
                <w:color w:val="000000"/>
                <w:kern w:val="0"/>
                <w:sz w:val="20"/>
                <w:szCs w:val="20"/>
              </w:rPr>
              <w:t>单位：万元</w:t>
            </w:r>
          </w:p>
        </w:tc>
      </w:tr>
      <w:tr>
        <w:tblPrEx>
          <w:tblCellMar>
            <w:top w:w="0" w:type="dxa"/>
            <w:left w:w="0" w:type="dxa"/>
            <w:bottom w:w="0" w:type="dxa"/>
            <w:right w:w="0" w:type="dxa"/>
          </w:tblCellMar>
        </w:tblPrEx>
        <w:trPr>
          <w:trHeight w:val="270" w:hRule="atLeast"/>
        </w:trPr>
        <w:tc>
          <w:tcPr>
            <w:tcW w:w="568"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项目</w:t>
            </w:r>
          </w:p>
        </w:tc>
        <w:tc>
          <w:tcPr>
            <w:tcW w:w="284" w:type="dxa"/>
            <w:vMerge w:val="restart"/>
            <w:tcBorders>
              <w:top w:val="nil"/>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行次</w:t>
            </w:r>
          </w:p>
        </w:tc>
        <w:tc>
          <w:tcPr>
            <w:tcW w:w="850" w:type="dxa"/>
            <w:vMerge w:val="restart"/>
            <w:tcBorders>
              <w:top w:val="nil"/>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资产总额</w:t>
            </w:r>
          </w:p>
        </w:tc>
        <w:tc>
          <w:tcPr>
            <w:tcW w:w="992"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流动资产</w:t>
            </w:r>
          </w:p>
        </w:tc>
        <w:tc>
          <w:tcPr>
            <w:tcW w:w="4273" w:type="dxa"/>
            <w:gridSpan w:val="6"/>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固定资产</w:t>
            </w:r>
          </w:p>
        </w:tc>
        <w:tc>
          <w:tcPr>
            <w:tcW w:w="567"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对外投资</w:t>
            </w:r>
            <w:r>
              <w:rPr>
                <w:rFonts w:ascii="Times New Roman" w:hAnsi="Times New Roman" w:cs="Times New Roman"/>
                <w:kern w:val="0"/>
                <w:sz w:val="20"/>
                <w:szCs w:val="20"/>
              </w:rPr>
              <w:t>/</w:t>
            </w:r>
            <w:r>
              <w:rPr>
                <w:rFonts w:ascii="Times New Roman" w:hAnsi="宋体" w:cs="Times New Roman"/>
                <w:kern w:val="0"/>
                <w:sz w:val="20"/>
                <w:szCs w:val="20"/>
              </w:rPr>
              <w:t>有价证券</w:t>
            </w:r>
          </w:p>
        </w:tc>
        <w:tc>
          <w:tcPr>
            <w:tcW w:w="304"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在建工程</w:t>
            </w:r>
          </w:p>
        </w:tc>
        <w:tc>
          <w:tcPr>
            <w:tcW w:w="851"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无形资产</w:t>
            </w:r>
          </w:p>
        </w:tc>
        <w:tc>
          <w:tcPr>
            <w:tcW w:w="850"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其他资产</w:t>
            </w:r>
          </w:p>
        </w:tc>
      </w:tr>
      <w:tr>
        <w:tblPrEx>
          <w:tblCellMar>
            <w:top w:w="0" w:type="dxa"/>
            <w:left w:w="0" w:type="dxa"/>
            <w:bottom w:w="0" w:type="dxa"/>
            <w:right w:w="0" w:type="dxa"/>
          </w:tblCellMar>
        </w:tblPrEx>
        <w:trPr>
          <w:trHeight w:val="1298"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84"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87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小计</w:t>
            </w:r>
          </w:p>
        </w:tc>
        <w:tc>
          <w:tcPr>
            <w:tcW w:w="97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房屋构筑物</w:t>
            </w:r>
          </w:p>
        </w:tc>
        <w:tc>
          <w:tcPr>
            <w:tcW w:w="85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车辆</w:t>
            </w:r>
          </w:p>
        </w:tc>
        <w:tc>
          <w:tcPr>
            <w:tcW w:w="728"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单价</w:t>
            </w:r>
            <w:r>
              <w:rPr>
                <w:rFonts w:ascii="Times New Roman" w:hAnsi="Times New Roman" w:cs="Times New Roman"/>
                <w:kern w:val="0"/>
                <w:sz w:val="20"/>
                <w:szCs w:val="20"/>
              </w:rPr>
              <w:t>200</w:t>
            </w:r>
            <w:r>
              <w:rPr>
                <w:rFonts w:ascii="Times New Roman" w:hAnsi="宋体" w:cs="Times New Roman"/>
                <w:kern w:val="0"/>
                <w:sz w:val="20"/>
                <w:szCs w:val="20"/>
              </w:rPr>
              <w:t>万以上大型设备</w:t>
            </w:r>
          </w:p>
        </w:tc>
        <w:tc>
          <w:tcPr>
            <w:tcW w:w="85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其他固定资产</w:t>
            </w:r>
          </w:p>
        </w:tc>
        <w:tc>
          <w:tcPr>
            <w:tcW w:w="567" w:type="dxa"/>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304" w:type="dxa"/>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r>
      <w:tr>
        <w:tblPrEx>
          <w:tblCellMar>
            <w:top w:w="0" w:type="dxa"/>
            <w:left w:w="0" w:type="dxa"/>
            <w:bottom w:w="0" w:type="dxa"/>
            <w:right w:w="0" w:type="dxa"/>
          </w:tblCellMar>
        </w:tblPrEx>
        <w:trPr>
          <w:trHeight w:val="642"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栏次</w:t>
            </w:r>
          </w:p>
        </w:tc>
        <w:tc>
          <w:tcPr>
            <w:tcW w:w="284"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850"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92"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871"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72"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51"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728" w:type="dxa"/>
            <w:gridSpan w:val="2"/>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51"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567"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304"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851"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850" w:type="dxa"/>
            <w:tcBorders>
              <w:top w:val="single" w:color="000000" w:sz="4" w:space="0"/>
              <w:left w:val="nil"/>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Times New Roman" w:cs="Times New Roman"/>
                <w:kern w:val="0"/>
                <w:sz w:val="20"/>
                <w:szCs w:val="20"/>
              </w:rPr>
              <w:t>11</w:t>
            </w:r>
          </w:p>
        </w:tc>
      </w:tr>
      <w:tr>
        <w:tblPrEx>
          <w:tblCellMar>
            <w:top w:w="0" w:type="dxa"/>
            <w:left w:w="0" w:type="dxa"/>
            <w:bottom w:w="0" w:type="dxa"/>
            <w:right w:w="0"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0"/>
                <w:szCs w:val="20"/>
              </w:rPr>
            </w:pPr>
            <w:r>
              <w:rPr>
                <w:rFonts w:ascii="Times New Roman" w:hAnsi="宋体" w:cs="Times New Roman"/>
                <w:kern w:val="0"/>
                <w:sz w:val="20"/>
                <w:szCs w:val="20"/>
              </w:rPr>
              <w:t>合计</w:t>
            </w:r>
          </w:p>
        </w:tc>
        <w:tc>
          <w:tcPr>
            <w:tcW w:w="28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85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749</w:t>
            </w:r>
            <w:r>
              <w:rPr>
                <w:rFonts w:hint="eastAsia" w:ascii="Times New Roman" w:hAnsi="Times New Roman" w:cs="Times New Roman"/>
                <w:kern w:val="0"/>
                <w:sz w:val="24"/>
                <w:szCs w:val="24"/>
              </w:rPr>
              <w:t>3</w:t>
            </w:r>
            <w:r>
              <w:rPr>
                <w:rFonts w:ascii="Times New Roman" w:hAnsi="Times New Roman" w:cs="Times New Roman"/>
                <w:kern w:val="0"/>
                <w:sz w:val="24"/>
                <w:szCs w:val="24"/>
              </w:rPr>
              <w:t>.61</w:t>
            </w:r>
          </w:p>
        </w:tc>
        <w:tc>
          <w:tcPr>
            <w:tcW w:w="99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4312.47</w:t>
            </w:r>
          </w:p>
        </w:tc>
        <w:tc>
          <w:tcPr>
            <w:tcW w:w="87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6093.19</w:t>
            </w:r>
          </w:p>
        </w:tc>
        <w:tc>
          <w:tcPr>
            <w:tcW w:w="97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2154.15</w:t>
            </w:r>
          </w:p>
        </w:tc>
        <w:tc>
          <w:tcPr>
            <w:tcW w:w="85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262.22</w:t>
            </w:r>
          </w:p>
        </w:tc>
        <w:tc>
          <w:tcPr>
            <w:tcW w:w="728"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 </w:t>
            </w:r>
          </w:p>
        </w:tc>
        <w:tc>
          <w:tcPr>
            <w:tcW w:w="85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r>
              <w:rPr>
                <w:rFonts w:ascii="Times New Roman" w:hAnsi="Times New Roman" w:cs="Times New Roman"/>
                <w:kern w:val="0"/>
                <w:sz w:val="24"/>
                <w:szCs w:val="24"/>
              </w:rPr>
              <w:t>3676.82</w:t>
            </w:r>
          </w:p>
        </w:tc>
        <w:tc>
          <w:tcPr>
            <w:tcW w:w="56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p>
        </w:tc>
        <w:tc>
          <w:tcPr>
            <w:tcW w:w="30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p>
        </w:tc>
        <w:tc>
          <w:tcPr>
            <w:tcW w:w="85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p>
        </w:tc>
        <w:tc>
          <w:tcPr>
            <w:tcW w:w="85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spacing w:before="100" w:beforeAutospacing="1" w:after="100" w:afterAutospacing="1"/>
              <w:jc w:val="right"/>
              <w:rPr>
                <w:rFonts w:ascii="Times New Roman" w:hAnsi="Times New Roman" w:cs="Times New Roman"/>
                <w:kern w:val="0"/>
                <w:sz w:val="24"/>
                <w:szCs w:val="24"/>
              </w:rPr>
            </w:pPr>
          </w:p>
        </w:tc>
      </w:tr>
      <w:tr>
        <w:tblPrEx>
          <w:tblCellMar>
            <w:top w:w="0" w:type="dxa"/>
            <w:left w:w="0" w:type="dxa"/>
            <w:bottom w:w="0" w:type="dxa"/>
            <w:right w:w="0" w:type="dxa"/>
          </w:tblCellMar>
        </w:tblPrEx>
        <w:trPr>
          <w:trHeight w:val="240" w:hRule="atLeast"/>
        </w:trPr>
        <w:tc>
          <w:tcPr>
            <w:tcW w:w="7838" w:type="dxa"/>
            <w:gridSpan w:val="12"/>
            <w:tcBorders>
              <w:top w:val="single" w:color="000000" w:sz="4" w:space="0"/>
              <w:left w:val="nil"/>
              <w:bottom w:val="nil"/>
              <w:right w:val="nil"/>
            </w:tcBorders>
            <w:tcMar>
              <w:top w:w="15" w:type="dxa"/>
              <w:left w:w="15" w:type="dxa"/>
              <w:bottom w:w="15" w:type="dxa"/>
              <w:right w:w="15" w:type="dxa"/>
            </w:tcMar>
            <w:vAlign w:val="bottom"/>
          </w:tcPr>
          <w:p>
            <w:pPr>
              <w:widowControl/>
              <w:spacing w:before="100" w:beforeAutospacing="1" w:after="100" w:afterAutospacing="1"/>
              <w:jc w:val="right"/>
              <w:rPr>
                <w:rFonts w:ascii="Times New Roman" w:hAnsi="Times New Roman" w:cs="Times New Roman"/>
                <w:kern w:val="0"/>
                <w:sz w:val="24"/>
                <w:szCs w:val="24"/>
              </w:rPr>
            </w:pPr>
          </w:p>
        </w:tc>
        <w:tc>
          <w:tcPr>
            <w:tcW w:w="851" w:type="dxa"/>
            <w:tcBorders>
              <w:top w:val="single" w:color="000000" w:sz="4" w:space="0"/>
              <w:left w:val="nil"/>
              <w:bottom w:val="nil"/>
              <w:right w:val="nil"/>
            </w:tcBorders>
            <w:tcMar>
              <w:top w:w="15" w:type="dxa"/>
              <w:left w:w="15" w:type="dxa"/>
              <w:bottom w:w="15" w:type="dxa"/>
              <w:right w:w="15" w:type="dxa"/>
            </w:tcMar>
            <w:vAlign w:val="bottom"/>
          </w:tcPr>
          <w:p>
            <w:pPr>
              <w:widowControl/>
              <w:spacing w:before="100" w:beforeAutospacing="1" w:after="100" w:afterAutospacing="1"/>
              <w:jc w:val="left"/>
              <w:rPr>
                <w:rFonts w:ascii="Times New Roman" w:hAnsi="Times New Roman" w:cs="Times New Roman"/>
                <w:kern w:val="0"/>
                <w:sz w:val="24"/>
                <w:szCs w:val="24"/>
              </w:rPr>
            </w:pPr>
          </w:p>
        </w:tc>
        <w:tc>
          <w:tcPr>
            <w:tcW w:w="850" w:type="dxa"/>
            <w:tcBorders>
              <w:top w:val="single" w:color="000000" w:sz="4" w:space="0"/>
              <w:left w:val="nil"/>
              <w:bottom w:val="nil"/>
              <w:right w:val="nil"/>
            </w:tcBorders>
            <w:tcMar>
              <w:top w:w="15" w:type="dxa"/>
              <w:left w:w="15" w:type="dxa"/>
              <w:bottom w:w="15" w:type="dxa"/>
              <w:right w:w="15" w:type="dxa"/>
            </w:tcMar>
            <w:vAlign w:val="bottom"/>
          </w:tcPr>
          <w:p>
            <w:pPr>
              <w:widowControl/>
              <w:spacing w:before="100" w:beforeAutospacing="1" w:after="100" w:afterAutospacing="1"/>
              <w:jc w:val="left"/>
              <w:rPr>
                <w:rFonts w:ascii="Times New Roman" w:hAnsi="Times New Roman" w:cs="Times New Roman"/>
                <w:kern w:val="0"/>
                <w:sz w:val="24"/>
                <w:szCs w:val="24"/>
              </w:rPr>
            </w:pPr>
          </w:p>
        </w:tc>
      </w:tr>
      <w:tr>
        <w:tblPrEx>
          <w:tblCellMar>
            <w:top w:w="0" w:type="dxa"/>
            <w:left w:w="0" w:type="dxa"/>
            <w:bottom w:w="0" w:type="dxa"/>
            <w:right w:w="0" w:type="dxa"/>
          </w:tblCellMar>
        </w:tblPrEx>
        <w:trPr>
          <w:trHeight w:val="300" w:hRule="atLeast"/>
        </w:trPr>
        <w:tc>
          <w:tcPr>
            <w:tcW w:w="9539" w:type="dxa"/>
            <w:gridSpan w:val="14"/>
            <w:tcMar>
              <w:top w:w="15" w:type="dxa"/>
              <w:left w:w="15" w:type="dxa"/>
              <w:bottom w:w="15" w:type="dxa"/>
              <w:right w:w="15" w:type="dxa"/>
            </w:tcMar>
            <w:vAlign w:val="bottom"/>
          </w:tcPr>
          <w:p>
            <w:pPr>
              <w:widowControl/>
              <w:spacing w:before="100" w:beforeAutospacing="1" w:after="100" w:afterAutospacing="1"/>
              <w:jc w:val="left"/>
              <w:rPr>
                <w:rFonts w:ascii="Times New Roman" w:hAnsi="Times New Roman" w:eastAsia="仿宋_GB2312" w:cs="Times New Roman"/>
                <w:kern w:val="0"/>
              </w:rPr>
            </w:pPr>
            <w:r>
              <w:rPr>
                <w:rFonts w:ascii="Times New Roman" w:hAnsi="Times New Roman" w:eastAsia="仿宋_GB2312" w:cs="Times New Roman"/>
                <w:kern w:val="0"/>
              </w:rPr>
              <w:t>填报说明：1.资产总额＝流动资产＋固定资产＋对外投资／有价证券＋在建工程＋无形资产＋其他资产2.固定资产＝房屋构筑物＋车辆＋单价200万元以上大型设备＋其他固定资产</w:t>
            </w:r>
          </w:p>
        </w:tc>
      </w:tr>
    </w:tbl>
    <w:p>
      <w:pPr>
        <w:autoSpaceDE w:val="0"/>
        <w:autoSpaceDN w:val="0"/>
        <w:adjustRightInd w:val="0"/>
        <w:ind w:firstLine="600"/>
        <w:jc w:val="center"/>
        <w:rPr>
          <w:rFonts w:ascii="Times New Roman" w:hAnsi="Times New Roman" w:cs="Times New Roman"/>
          <w:color w:val="FF0000"/>
          <w:sz w:val="30"/>
          <w:szCs w:val="30"/>
        </w:rPr>
      </w:pPr>
      <w:r>
        <w:rPr>
          <w:rFonts w:ascii="Times New Roman" w:hAnsi="Times New Roman" w:cs="Times New Roman"/>
          <w:color w:val="FF0000"/>
          <w:sz w:val="30"/>
          <w:szCs w:val="30"/>
        </w:rPr>
        <w:t xml:space="preserve"> </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三、政府采购支出情况</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2019年度，部门政府采购支出总额</w:t>
      </w:r>
      <w:r>
        <w:rPr>
          <w:rFonts w:hint="eastAsia" w:ascii="Times New Roman" w:hAnsi="Times New Roman" w:eastAsia="仿宋" w:cs="Times New Roman"/>
          <w:sz w:val="30"/>
          <w:szCs w:val="30"/>
        </w:rPr>
        <w:t>85.59</w:t>
      </w:r>
      <w:r>
        <w:rPr>
          <w:rFonts w:ascii="Times New Roman" w:hAnsi="Times New Roman" w:eastAsia="仿宋" w:cs="Times New Roman"/>
          <w:sz w:val="30"/>
          <w:szCs w:val="30"/>
        </w:rPr>
        <w:t>万元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其中</w:t>
      </w:r>
      <w:r>
        <w:rPr>
          <w:rFonts w:hint="eastAsia" w:ascii="Times New Roman" w:hAnsi="Times New Roman" w:eastAsia="仿宋" w:cs="Times New Roman"/>
          <w:sz w:val="30"/>
          <w:szCs w:val="30"/>
        </w:rPr>
        <w:t>：政府采购货物支出85.59万元，用于</w:t>
      </w:r>
      <w:r>
        <w:rPr>
          <w:rFonts w:ascii="Times New Roman" w:hAnsi="Times New Roman" w:eastAsia="仿宋" w:cs="Times New Roman"/>
          <w:sz w:val="30"/>
          <w:szCs w:val="30"/>
        </w:rPr>
        <w:t>购</w:t>
      </w:r>
      <w:r>
        <w:rPr>
          <w:rFonts w:hint="eastAsia" w:ascii="Times New Roman" w:hAnsi="Times New Roman" w:eastAsia="仿宋" w:cs="Times New Roman"/>
          <w:sz w:val="30"/>
          <w:szCs w:val="30"/>
        </w:rPr>
        <w:t>置</w:t>
      </w:r>
      <w:r>
        <w:rPr>
          <w:rFonts w:ascii="Times New Roman" w:hAnsi="Times New Roman" w:eastAsia="仿宋" w:cs="Times New Roman"/>
          <w:sz w:val="30"/>
          <w:szCs w:val="30"/>
        </w:rPr>
        <w:t>办公设备电脑9台、多功能一体机1台</w:t>
      </w:r>
      <w:r>
        <w:rPr>
          <w:rFonts w:hint="eastAsia" w:ascii="Times New Roman" w:hAnsi="Times New Roman" w:eastAsia="仿宋" w:cs="Times New Roman"/>
          <w:sz w:val="30"/>
          <w:szCs w:val="30"/>
        </w:rPr>
        <w:t>，合计金额5.59万元，属于自由资金采购；采购饲草饲料60.00万元，采购兽药、防疫服20.00万元，属于财政拨款支付。</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color w:val="000000"/>
          <w:sz w:val="30"/>
          <w:szCs w:val="30"/>
        </w:rPr>
        <w:t>四、部门绩效自评情况</w:t>
      </w:r>
    </w:p>
    <w:p>
      <w:pPr>
        <w:autoSpaceDE w:val="0"/>
        <w:autoSpaceDN w:val="0"/>
        <w:adjustRightInd w:val="0"/>
        <w:spacing w:line="590" w:lineRule="exact"/>
        <w:ind w:firstLine="600" w:firstLineChars="200"/>
        <w:jc w:val="left"/>
        <w:rPr>
          <w:rFonts w:ascii="Times New Roman" w:hAnsi="Times New Roman" w:eastAsia="仿宋" w:cs="Times New Roman"/>
          <w:color w:val="0000FF"/>
          <w:sz w:val="30"/>
          <w:szCs w:val="30"/>
        </w:rPr>
      </w:pPr>
      <w:r>
        <w:rPr>
          <w:rFonts w:ascii="Times New Roman" w:hAnsi="Times New Roman" w:eastAsia="仿宋" w:cs="Times New Roman"/>
          <w:color w:val="000000"/>
          <w:sz w:val="30"/>
          <w:szCs w:val="30"/>
        </w:rPr>
        <w:t>部门绩效自评情况表详见附表（附表9-附表11）</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五、其他重要事项情况说明</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无</w:t>
      </w:r>
    </w:p>
    <w:p>
      <w:pPr>
        <w:autoSpaceDE w:val="0"/>
        <w:autoSpaceDN w:val="0"/>
        <w:adjustRightInd w:val="0"/>
        <w:spacing w:line="59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六、相关口径说明</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（一）基本支出中人员经费包括工资福利支出和对个人和家庭的补助，日常公用支出包括商品和服务支出、资本性支出等人员经费以外的支出。</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（二）机关运行经费指行政单位和参照公务员法管理的事业单位使用一般公共预算财政拨款安排的基本支出中的日常公用经费支出。</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autoSpaceDE w:val="0"/>
        <w:autoSpaceDN w:val="0"/>
        <w:adjustRightInd w:val="0"/>
        <w:spacing w:line="59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autoSpaceDE w:val="0"/>
        <w:autoSpaceDN w:val="0"/>
        <w:adjustRightInd w:val="0"/>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第五部分  名词解释</w:t>
      </w:r>
    </w:p>
    <w:p>
      <w:pPr>
        <w:autoSpaceDE w:val="0"/>
        <w:autoSpaceDN w:val="0"/>
        <w:adjustRightInd w:val="0"/>
        <w:spacing w:line="590" w:lineRule="exact"/>
        <w:ind w:firstLine="600" w:firstLineChars="200"/>
        <w:jc w:val="left"/>
        <w:rPr>
          <w:rFonts w:ascii="Times New Roman" w:hAnsi="Times New Roman" w:cs="Times New Roman"/>
          <w:sz w:val="36"/>
          <w:szCs w:val="36"/>
        </w:rPr>
      </w:pPr>
      <w:r>
        <w:rPr>
          <w:rFonts w:ascii="Times New Roman" w:hAnsi="Times New Roman" w:eastAsia="仿宋" w:cs="Times New Roman"/>
          <w:sz w:val="30"/>
          <w:szCs w:val="30"/>
        </w:rPr>
        <w:t>情况说明里涉及到需要解释说明的决算相关专用名词，在此进行说明解释。若没有涉及专用名词，请说明不涉及专用名词。</w:t>
      </w:r>
    </w:p>
    <w:p>
      <w:pPr>
        <w:rPr>
          <w:rFonts w:ascii="Times New Roman" w:hAnsi="Times New Roman" w:cs="Times New Roman"/>
        </w:rPr>
      </w:pPr>
      <w:r>
        <w:rPr>
          <w:rFonts w:ascii="Times New Roman" w:hAnsi="Times New Roman" w:cs="Times New Roman"/>
        </w:rPr>
        <w:t xml:space="preserve"> </w:t>
      </w:r>
    </w:p>
    <w:sectPr>
      <w:pgSz w:w="12240" w:h="15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77A15"/>
    <w:multiLevelType w:val="multilevel"/>
    <w:tmpl w:val="10A77A15"/>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docVars>
    <w:docVar w:name="commondata" w:val="eyJoZGlkIjoiNmYyMDVlNWEzZjFmMWJjZDQ1NzJjMWY2MzkxOTk2Y2IifQ=="/>
  </w:docVars>
  <w:rsids>
    <w:rsidRoot w:val="008115B1"/>
    <w:rsid w:val="00031CF3"/>
    <w:rsid w:val="00093C5E"/>
    <w:rsid w:val="000A5E24"/>
    <w:rsid w:val="001504AF"/>
    <w:rsid w:val="00155112"/>
    <w:rsid w:val="00157A26"/>
    <w:rsid w:val="0017411C"/>
    <w:rsid w:val="001913AE"/>
    <w:rsid w:val="00195F53"/>
    <w:rsid w:val="001975E5"/>
    <w:rsid w:val="00215846"/>
    <w:rsid w:val="0022282F"/>
    <w:rsid w:val="002615E6"/>
    <w:rsid w:val="00283A98"/>
    <w:rsid w:val="003026BE"/>
    <w:rsid w:val="00304F24"/>
    <w:rsid w:val="003376CD"/>
    <w:rsid w:val="00497A9D"/>
    <w:rsid w:val="004B6651"/>
    <w:rsid w:val="004C6DE1"/>
    <w:rsid w:val="00520572"/>
    <w:rsid w:val="00522451"/>
    <w:rsid w:val="00535689"/>
    <w:rsid w:val="0053699C"/>
    <w:rsid w:val="00543FD9"/>
    <w:rsid w:val="005A7376"/>
    <w:rsid w:val="005C3FAA"/>
    <w:rsid w:val="006637E0"/>
    <w:rsid w:val="00667E54"/>
    <w:rsid w:val="006820D5"/>
    <w:rsid w:val="006C653F"/>
    <w:rsid w:val="00773FF6"/>
    <w:rsid w:val="00793C61"/>
    <w:rsid w:val="007A57CE"/>
    <w:rsid w:val="007C1CE9"/>
    <w:rsid w:val="007D7A5D"/>
    <w:rsid w:val="008115B1"/>
    <w:rsid w:val="0082267D"/>
    <w:rsid w:val="00832BEC"/>
    <w:rsid w:val="008D3201"/>
    <w:rsid w:val="00961C1C"/>
    <w:rsid w:val="00981B80"/>
    <w:rsid w:val="00A52B27"/>
    <w:rsid w:val="00B04B34"/>
    <w:rsid w:val="00B331AA"/>
    <w:rsid w:val="00BB0C04"/>
    <w:rsid w:val="00BD1EE8"/>
    <w:rsid w:val="00BE3D3F"/>
    <w:rsid w:val="00C0039B"/>
    <w:rsid w:val="00C26400"/>
    <w:rsid w:val="00C400EA"/>
    <w:rsid w:val="00C77937"/>
    <w:rsid w:val="00CA06F4"/>
    <w:rsid w:val="00CA6B6B"/>
    <w:rsid w:val="00D04FC3"/>
    <w:rsid w:val="00DB630A"/>
    <w:rsid w:val="00DC0B9C"/>
    <w:rsid w:val="00DE68E1"/>
    <w:rsid w:val="00DE6B5E"/>
    <w:rsid w:val="00E120C0"/>
    <w:rsid w:val="00E24DFA"/>
    <w:rsid w:val="00E34527"/>
    <w:rsid w:val="00E5677B"/>
    <w:rsid w:val="00EF57EB"/>
    <w:rsid w:val="00F01309"/>
    <w:rsid w:val="00F35790"/>
    <w:rsid w:val="00F54EDA"/>
    <w:rsid w:val="00F56BA7"/>
    <w:rsid w:val="00F63373"/>
    <w:rsid w:val="00F93E16"/>
    <w:rsid w:val="00FA0F85"/>
    <w:rsid w:val="00FC4DC0"/>
    <w:rsid w:val="079C076D"/>
    <w:rsid w:val="359E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99"/>
    <w:rPr>
      <w:rFonts w:ascii="Cambria" w:hAnsi="Cambria" w:eastAsia="黑体" w:cs="Times New Roman"/>
      <w:sz w:val="20"/>
      <w:szCs w:val="20"/>
    </w:rPr>
  </w:style>
  <w:style w:type="paragraph" w:styleId="3">
    <w:name w:val="Balloon Text"/>
    <w:basedOn w:val="1"/>
    <w:link w:val="11"/>
    <w:semiHidden/>
    <w:unhideWhenUsed/>
    <w:uiPriority w:val="99"/>
    <w:rPr>
      <w:sz w:val="18"/>
      <w:szCs w:val="18"/>
    </w:rPr>
  </w:style>
  <w:style w:type="paragraph" w:styleId="4">
    <w:name w:val="footer"/>
    <w:basedOn w:val="1"/>
    <w:link w:val="10"/>
    <w:semiHidden/>
    <w:unhideWhenUsed/>
    <w:qFormat/>
    <w:uiPriority w:val="99"/>
    <w:pPr>
      <w:snapToGrid w:val="0"/>
      <w:jc w:val="left"/>
    </w:pPr>
    <w:rPr>
      <w:sz w:val="18"/>
      <w:szCs w:val="18"/>
    </w:rPr>
  </w:style>
  <w:style w:type="paragraph" w:styleId="5">
    <w:name w:val="header"/>
    <w:basedOn w:val="1"/>
    <w:link w:val="9"/>
    <w:semiHidden/>
    <w:unhideWhenUsed/>
    <w:uiPriority w:val="99"/>
    <w:pPr>
      <w:pBdr>
        <w:bottom w:val="single" w:color="auto" w:sz="6" w:space="1"/>
      </w:pBdr>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semiHidden/>
    <w:locked/>
    <w:uiPriority w:val="99"/>
    <w:rPr>
      <w:rFonts w:hint="default" w:ascii="等线" w:hAnsi="等线" w:eastAsia="宋体" w:cs="黑体"/>
      <w:kern w:val="2"/>
      <w:sz w:val="18"/>
      <w:szCs w:val="18"/>
    </w:rPr>
  </w:style>
  <w:style w:type="character" w:customStyle="1" w:styleId="10">
    <w:name w:val="页脚 Char"/>
    <w:basedOn w:val="8"/>
    <w:link w:val="4"/>
    <w:semiHidden/>
    <w:qFormat/>
    <w:locked/>
    <w:uiPriority w:val="99"/>
    <w:rPr>
      <w:rFonts w:hint="default" w:ascii="等线" w:hAnsi="等线" w:eastAsia="宋体" w:cs="黑体"/>
      <w:kern w:val="2"/>
      <w:sz w:val="18"/>
      <w:szCs w:val="18"/>
    </w:rPr>
  </w:style>
  <w:style w:type="character" w:customStyle="1" w:styleId="11">
    <w:name w:val="批注框文本 Char"/>
    <w:basedOn w:val="8"/>
    <w:link w:val="3"/>
    <w:semiHidden/>
    <w:qFormat/>
    <w:locked/>
    <w:uiPriority w:val="99"/>
    <w:rPr>
      <w:rFonts w:hint="default" w:ascii="等线" w:hAnsi="等线" w:eastAsia="宋体" w:cs="黑体"/>
      <w:kern w:val="2"/>
      <w:sz w:val="18"/>
      <w:szCs w:val="18"/>
    </w:rPr>
  </w:style>
  <w:style w:type="character" w:customStyle="1" w:styleId="12">
    <w:name w:val="10"/>
    <w:basedOn w:val="8"/>
    <w:qFormat/>
    <w:uiPriority w:val="0"/>
    <w:rPr>
      <w:rFonts w:hint="default" w:ascii="Times New Roman" w:hAnsi="Times New Roman" w:cs="Times New Roman"/>
    </w:rPr>
  </w:style>
  <w:style w:type="character" w:customStyle="1" w:styleId="13">
    <w:name w:val="15"/>
    <w:basedOn w:val="8"/>
    <w:uiPriority w:val="0"/>
    <w:rPr>
      <w:rFonts w:hint="default" w:ascii="Times New Roman" w:hAnsi="Times New Roman" w:cs="Times New Roman"/>
      <w:sz w:val="18"/>
      <w:szCs w:val="18"/>
    </w:rPr>
  </w:style>
  <w:style w:type="character" w:customStyle="1" w:styleId="14">
    <w:name w:val="16"/>
    <w:basedOn w:val="8"/>
    <w:qFormat/>
    <w:uiPriority w:val="0"/>
    <w:rPr>
      <w:rFonts w:hint="default" w:ascii="Times New Roman" w:hAnsi="Times New Roman" w:cs="Times New Roman"/>
      <w:sz w:val="18"/>
      <w:szCs w:val="18"/>
    </w:rPr>
  </w:style>
  <w:style w:type="paragraph" w:styleId="15">
    <w:name w:val="List Paragraph"/>
    <w:basedOn w:val="1"/>
    <w:qFormat/>
    <w:uiPriority w:val="34"/>
    <w:pPr>
      <w:ind w:firstLine="420" w:firstLineChars="200"/>
    </w:pPr>
  </w:style>
  <w:style w:type="paragraph" w:customStyle="1" w:styleId="16">
    <w:name w:val="正文 New New New"/>
    <w:qFormat/>
    <w:uiPriority w:val="0"/>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9&#24180;&#20915;&#31639;\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9&#24180;&#20915;&#31639;\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Sheet1!$A$1:$A$2</c:f>
              <c:strCache>
                <c:ptCount val="2"/>
                <c:pt idx="0">
                  <c:v>财政拨款收入</c:v>
                </c:pt>
                <c:pt idx="1">
                  <c:v>经营收入</c:v>
                </c:pt>
              </c:strCache>
            </c:strRef>
          </c:cat>
          <c:val>
            <c:numRef>
              <c:f>Sheet1!$B$1:$B$2</c:f>
              <c:numCache>
                <c:formatCode>General</c:formatCode>
                <c:ptCount val="2"/>
                <c:pt idx="0">
                  <c:v>669.25</c:v>
                </c:pt>
                <c:pt idx="1">
                  <c:v>2192.12</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Sheet1!$I$1:$I$3</c:f>
              <c:strCache>
                <c:ptCount val="3"/>
                <c:pt idx="0">
                  <c:v>基本支出</c:v>
                </c:pt>
                <c:pt idx="1">
                  <c:v>项目支出</c:v>
                </c:pt>
                <c:pt idx="2">
                  <c:v>经营支出</c:v>
                </c:pt>
              </c:strCache>
            </c:strRef>
          </c:cat>
          <c:val>
            <c:numRef>
              <c:f>Sheet1!$J$1:$J$3</c:f>
              <c:numCache>
                <c:formatCode>General</c:formatCode>
                <c:ptCount val="3"/>
                <c:pt idx="0">
                  <c:v>589.25</c:v>
                </c:pt>
                <c:pt idx="1">
                  <c:v>80</c:v>
                </c:pt>
                <c:pt idx="2">
                  <c:v>2478.3</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人员经费</c:v>
                </c:pt>
              </c:strCache>
            </c:strRef>
          </c:tx>
          <c:invertIfNegative val="0"/>
          <c:dLbls>
            <c:delete val="1"/>
          </c:dLbls>
          <c:cat>
            <c:strRef>
              <c:f>Sheet1!$B$1:$C$1</c:f>
              <c:strCache>
                <c:ptCount val="2"/>
                <c:pt idx="0">
                  <c:v>2019年</c:v>
                </c:pt>
                <c:pt idx="1">
                  <c:v>2018年</c:v>
                </c:pt>
              </c:strCache>
            </c:strRef>
          </c:cat>
          <c:val>
            <c:numRef>
              <c:f>Sheet1!$B$2:$C$2</c:f>
              <c:numCache>
                <c:formatCode>General</c:formatCode>
                <c:ptCount val="2"/>
                <c:pt idx="0">
                  <c:v>542.839999999999</c:v>
                </c:pt>
                <c:pt idx="1" c:formatCode="#,##0.00">
                  <c:v>1034.16</c:v>
                </c:pt>
              </c:numCache>
            </c:numRef>
          </c:val>
        </c:ser>
        <c:ser>
          <c:idx val="1"/>
          <c:order val="1"/>
          <c:tx>
            <c:strRef>
              <c:f>Sheet1!$A$3</c:f>
              <c:strCache>
                <c:ptCount val="1"/>
                <c:pt idx="0">
                  <c:v>日常公用经费</c:v>
                </c:pt>
              </c:strCache>
            </c:strRef>
          </c:tx>
          <c:invertIfNegative val="0"/>
          <c:dLbls>
            <c:delete val="1"/>
          </c:dLbls>
          <c:cat>
            <c:strRef>
              <c:f>Sheet1!$B$1:$C$1</c:f>
              <c:strCache>
                <c:ptCount val="2"/>
                <c:pt idx="0">
                  <c:v>2019年</c:v>
                </c:pt>
                <c:pt idx="1">
                  <c:v>2018年</c:v>
                </c:pt>
              </c:strCache>
            </c:strRef>
          </c:cat>
          <c:val>
            <c:numRef>
              <c:f>Sheet1!$B$3:$C$3</c:f>
              <c:numCache>
                <c:formatCode>General</c:formatCode>
                <c:ptCount val="2"/>
                <c:pt idx="0">
                  <c:v>46.41</c:v>
                </c:pt>
                <c:pt idx="1">
                  <c:v>49.02</c:v>
                </c:pt>
              </c:numCache>
            </c:numRef>
          </c:val>
        </c:ser>
        <c:dLbls>
          <c:showLegendKey val="0"/>
          <c:showVal val="0"/>
          <c:showCatName val="0"/>
          <c:showSerName val="0"/>
          <c:showPercent val="0"/>
          <c:showBubbleSize val="0"/>
        </c:dLbls>
        <c:gapWidth val="150"/>
        <c:axId val="134718208"/>
        <c:axId val="134719744"/>
      </c:barChart>
      <c:catAx>
        <c:axId val="134718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719744"/>
        <c:crosses val="autoZero"/>
        <c:auto val="1"/>
        <c:lblAlgn val="ctr"/>
        <c:lblOffset val="100"/>
        <c:noMultiLvlLbl val="0"/>
      </c:catAx>
      <c:valAx>
        <c:axId val="134719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7182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Sheet1!$A$27</c:f>
              <c:strCache>
                <c:ptCount val="1"/>
                <c:pt idx="0">
                  <c:v>公务接待</c:v>
                </c:pt>
              </c:strCache>
            </c:strRef>
          </c:tx>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Sheet1!$B$26:$F$26</c:f>
              <c:numCache>
                <c:formatCode>General</c:formatCode>
                <c:ptCount val="5"/>
                <c:pt idx="0">
                  <c:v>2015</c:v>
                </c:pt>
                <c:pt idx="1">
                  <c:v>2016</c:v>
                </c:pt>
                <c:pt idx="2">
                  <c:v>2017</c:v>
                </c:pt>
                <c:pt idx="3">
                  <c:v>2018</c:v>
                </c:pt>
                <c:pt idx="4">
                  <c:v>2019</c:v>
                </c:pt>
              </c:numCache>
            </c:numRef>
          </c:cat>
          <c:val>
            <c:numRef>
              <c:f>Sheet1!$B$27:$F$27</c:f>
              <c:numCache>
                <c:formatCode>0.00_ </c:formatCode>
                <c:ptCount val="5"/>
                <c:pt idx="0">
                  <c:v>20.85</c:v>
                </c:pt>
                <c:pt idx="1">
                  <c:v>15.37</c:v>
                </c:pt>
                <c:pt idx="2">
                  <c:v>21.39</c:v>
                </c:pt>
                <c:pt idx="3">
                  <c:v>4.56</c:v>
                </c:pt>
                <c:pt idx="4">
                  <c:v>4.34</c:v>
                </c:pt>
              </c:numCache>
            </c:numRef>
          </c:val>
          <c:smooth val="0"/>
        </c:ser>
        <c:ser>
          <c:idx val="1"/>
          <c:order val="1"/>
          <c:tx>
            <c:strRef>
              <c:f>Sheet1!$A$28</c:f>
              <c:strCache>
                <c:ptCount val="1"/>
                <c:pt idx="0">
                  <c:v>公务用车</c:v>
                </c:pt>
              </c:strCache>
            </c:strRef>
          </c:tx>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Sheet1!$B$26:$F$26</c:f>
              <c:numCache>
                <c:formatCode>General</c:formatCode>
                <c:ptCount val="5"/>
                <c:pt idx="0">
                  <c:v>2015</c:v>
                </c:pt>
                <c:pt idx="1">
                  <c:v>2016</c:v>
                </c:pt>
                <c:pt idx="2">
                  <c:v>2017</c:v>
                </c:pt>
                <c:pt idx="3">
                  <c:v>2018</c:v>
                </c:pt>
                <c:pt idx="4">
                  <c:v>2019</c:v>
                </c:pt>
              </c:numCache>
            </c:numRef>
          </c:cat>
          <c:val>
            <c:numRef>
              <c:f>Sheet1!$B$28:$F$28</c:f>
              <c:numCache>
                <c:formatCode>0.00_ </c:formatCode>
                <c:ptCount val="5"/>
                <c:pt idx="0">
                  <c:v>31.59</c:v>
                </c:pt>
                <c:pt idx="1">
                  <c:v>32.99</c:v>
                </c:pt>
                <c:pt idx="2">
                  <c:v>38.64</c:v>
                </c:pt>
                <c:pt idx="3">
                  <c:v>28.5</c:v>
                </c:pt>
                <c:pt idx="4">
                  <c:v>25.2</c:v>
                </c:pt>
              </c:numCache>
            </c:numRef>
          </c:val>
          <c:smooth val="0"/>
        </c:ser>
        <c:dLbls>
          <c:showLegendKey val="0"/>
          <c:showVal val="1"/>
          <c:showCatName val="0"/>
          <c:showSerName val="0"/>
          <c:showPercent val="0"/>
          <c:showBubbleSize val="0"/>
        </c:dLbls>
        <c:marker val="0"/>
        <c:smooth val="0"/>
        <c:axId val="66994176"/>
        <c:axId val="66995712"/>
      </c:lineChart>
      <c:catAx>
        <c:axId val="66994176"/>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995712"/>
        <c:crosses val="autoZero"/>
        <c:auto val="1"/>
        <c:lblAlgn val="ctr"/>
        <c:lblOffset val="100"/>
        <c:noMultiLvlLbl val="0"/>
      </c:catAx>
      <c:valAx>
        <c:axId val="66995712"/>
        <c:scaling>
          <c:orientation val="minMax"/>
        </c:scaling>
        <c:delete val="1"/>
        <c:axPos val="l"/>
        <c:numFmt formatCode="0.00_ "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99417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A10B6-E3F4-4ADA-8FF9-1B252605CE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6236</Words>
  <Characters>7376</Characters>
  <Lines>14</Lines>
  <Paragraphs>15</Paragraphs>
  <TotalTime>197</TotalTime>
  <ScaleCrop>false</ScaleCrop>
  <LinksUpToDate>false</LinksUpToDate>
  <CharactersWithSpaces>7599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2020-09-01T03:08:00Z</dcterms:created>
  <dc:creator>Administrator</dc:creator>
  <cp:lastModifiedBy>程春慧</cp:lastModifiedBy>
  <dcterms:modified xsi:type="dcterms:W3CDTF">2023-05-10T01:08:13Z</dcterms:modified>
  <dc:title>DWZDM</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C2B9475CCE094ACA85AD3397BB783D48_12</vt:lpwstr>
  </property>
</Properties>
</file>